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W w:w="16160" w:type="dxa"/>
        <w:tblInd w:w="-34" w:type="dxa"/>
        <w:tblLook w:val="04A0"/>
      </w:tblPr>
      <w:tblGrid/>
      <w:tr>
        <w:tc>
          <w:tcPr>
            <w:tcW w:w="9781" w:type="dxa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Додаток 3</w:t>
            </w:r>
          </w:p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Порядку складання, затвердження та контролю виконання фінансових планів підприємств, організацій, установ, об’єднань територіальної громади міста Києва</w:t>
            </w:r>
          </w:p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hanging="459" w:left="459"/>
              <w:rPr>
                <w:lang w:val="uk-UA"/>
              </w:rPr>
            </w:pPr>
          </w:p>
        </w:tc>
      </w:tr>
      <w:tr>
        <w:tc>
          <w:tcPr>
            <w:tcW w:w="9781" w:type="dxa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120" w:after="120" w:beforeAutospacing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Фінансовий план затверджено наказом (розпорядженням)</w:t>
            </w: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120" w:after="120" w:beforeAutospacing="0" w:afterAutospacing="0"/>
              <w:jc w:val="center"/>
            </w:pP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120" w:after="120" w:beforeAutospacing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(найменування суб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uk-UA"/>
              </w:rPr>
              <w:t>єкта управління)</w:t>
            </w: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tcBorders>
              <w:bottom w:val="single" w:sz="4" w:space="0" w:shadow="0" w:frame="0"/>
            </w:tcBorders>
            <w:shd w:val="clear" w:color="auto" w:fill="auto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rPr>
                <w:lang w:val="uk-UA"/>
              </w:rPr>
            </w:pPr>
          </w:p>
        </w:tc>
      </w:tr>
      <w:tr>
        <w:tc>
          <w:tcPr>
            <w:tcW w:w="9781" w:type="dxa"/>
            <w:tcBorders>
              <w:top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120" w:after="120" w:beforeAutospacing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(дата та номер)</w:t>
            </w:r>
          </w:p>
        </w:tc>
        <w:tc>
          <w:tcPr>
            <w:tcW w:w="6379" w:type="dxa"/>
            <w:vMerge w:val="continue"/>
            <w:shd w:val="clear" w:color="auto" w:fill="auto"/>
          </w:tcPr>
          <w:p>
            <w:pPr>
              <w:pStyle w:val="P27"/>
              <w:tabs>
                <w:tab w:val="left" w:pos="1728" w:leader="none"/>
              </w:tabs>
              <w:spacing w:before="0" w:after="0" w:beforeAutospacing="0" w:afterAutospacing="0"/>
              <w:ind w:left="1025"/>
              <w:jc w:val="center"/>
              <w:rPr>
                <w:lang w:val="uk-UA"/>
              </w:rPr>
            </w:pPr>
          </w:p>
        </w:tc>
      </w:tr>
    </w:tbl>
    <w:p>
      <w:pPr>
        <w:pStyle w:val="P27"/>
        <w:tabs>
          <w:tab w:val="left" w:pos="1728" w:leader="none"/>
        </w:tabs>
        <w:spacing w:before="0" w:after="0" w:beforeAutospacing="0" w:afterAutospacing="0"/>
        <w:rPr>
          <w:sz w:val="20"/>
          <w:szCs w:val="20"/>
          <w:lang w:val="uk-UA"/>
        </w:rPr>
      </w:pPr>
    </w:p>
    <w:tbl>
      <w:tblPr>
        <w:tblW w:w="0" w:type="auto"/>
        <w:tblInd w:w="-31" w:type="dxa"/>
        <w:tblLayout w:type="fixed"/>
        <w:tblCellMar>
          <w:left w:w="0" w:type="dxa"/>
          <w:right w:w="0" w:type="dxa"/>
        </w:tblCellMar>
        <w:tblLook w:val="00A0"/>
      </w:tblPr>
      <w:tblGrid/>
      <w:tr>
        <w:tc>
          <w:tcPr>
            <w:tcW w:w="391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Підприємство (повне найменування)</w:t>
            </w:r>
          </w:p>
        </w:tc>
        <w:tc>
          <w:tcPr>
            <w:tcW w:w="6378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6"/>
              </w:rPr>
              <w:t>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</w:tc>
        <w:tc>
          <w:tcPr>
            <w:tcW w:w="2355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Код</w:t>
            </w:r>
          </w:p>
        </w:tc>
        <w:tc>
          <w:tcPr>
            <w:tcW w:w="2835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Внесення змін до затвердженого фінансового плану</w:t>
            </w:r>
          </w:p>
        </w:tc>
      </w:tr>
      <w:tr>
        <w:tc>
          <w:tcPr>
            <w:tcW w:w="391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20"/>
                <w:szCs w:val="20"/>
                <w:spacing w:val="-2"/>
                <w:lang w:eastAsia="uk-UA"/>
              </w:rPr>
            </w:pPr>
          </w:p>
        </w:tc>
        <w:tc>
          <w:tcPr>
            <w:tcW w:w="6378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>за ЄДРПОУ</w:t>
            </w:r>
          </w:p>
        </w:tc>
        <w:tc>
          <w:tcPr>
            <w:tcW w:w="122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  <w:r>
              <w:rPr>
                <w:sz w:val="18"/>
                <w:szCs w:val="18"/>
              </w:rPr>
              <w:t>26199074</w:t>
            </w:r>
          </w:p>
        </w:tc>
        <w:tc>
          <w:tcPr>
            <w:tcW w:w="11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16"/>
                <w:szCs w:val="16"/>
                <w:spacing w:val="-2"/>
                <w:lang w:eastAsia="uk-UA"/>
              </w:rPr>
            </w:pPr>
            <w:r>
              <w:rPr>
                <w:color w:val="000000"/>
                <w:sz w:val="16"/>
                <w:szCs w:val="16"/>
                <w:spacing w:val="-2"/>
                <w:lang w:eastAsia="uk-UA"/>
              </w:rPr>
              <w:t>основний ФП</w:t>
            </w:r>
          </w:p>
        </w:tc>
        <w:tc>
          <w:tcPr>
            <w:tcW w:w="164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</w:p>
        </w:tc>
      </w:tr>
      <w:tr>
        <w:trPr>
          <w:trHeight w:hRule="atLeast" w:val="20"/>
        </w:trP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Організаційно-правова форма</w:t>
            </w:r>
          </w:p>
        </w:tc>
        <w:tc>
          <w:tcPr>
            <w:tcW w:w="6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6"/>
                <w:szCs w:val="16"/>
              </w:rPr>
              <w:t>КОМУНАЛЬНЕ ПІДПРИЄМСТВО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>за КОПФГ</w:t>
            </w:r>
          </w:p>
        </w:tc>
        <w:tc>
          <w:tcPr>
            <w:tcW w:w="122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1189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16"/>
                <w:szCs w:val="16"/>
                <w:spacing w:val="-2"/>
                <w:lang w:eastAsia="uk-UA"/>
              </w:rPr>
            </w:pPr>
            <w:r>
              <w:rPr>
                <w:color w:val="000000"/>
                <w:sz w:val="16"/>
                <w:szCs w:val="16"/>
                <w:spacing w:val="-2"/>
                <w:lang w:eastAsia="uk-UA"/>
              </w:rPr>
              <w:t>змінений ФП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V</w:t>
            </w:r>
            <w:r>
              <w:rPr>
                <w:sz w:val="18"/>
                <w:szCs w:val="18"/>
                <w:lang w:eastAsia="uk-UA"/>
              </w:rPr>
              <w:t> </w:t>
            </w: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Суб'єкт управління</w:t>
            </w:r>
          </w:p>
        </w:tc>
        <w:tc>
          <w:tcPr>
            <w:tcW w:w="6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>за СПОДУ</w:t>
            </w:r>
          </w:p>
        </w:tc>
        <w:tc>
          <w:tcPr>
            <w:tcW w:w="122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6"/>
                <w:szCs w:val="16"/>
                <w:spacing w:val="-2"/>
                <w:lang w:eastAsia="uk-UA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Вид економічної діяльності</w:t>
            </w:r>
          </w:p>
        </w:tc>
        <w:tc>
          <w:tcPr>
            <w:tcW w:w="63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6"/>
                <w:szCs w:val="16"/>
              </w:rPr>
              <w:t>ДIЯЛЬНIСТЬ ЛIКАРНЯНИХ ЗАКЛАДIВ</w:t>
            </w:r>
          </w:p>
        </w:tc>
        <w:tc>
          <w:tcPr>
            <w:tcW w:w="113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>за  КВЕД </w:t>
            </w:r>
          </w:p>
        </w:tc>
        <w:tc>
          <w:tcPr>
            <w:tcW w:w="1221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  <w:r>
              <w:rPr>
                <w:sz w:val="18"/>
                <w:szCs w:val="18"/>
              </w:rPr>
              <w:t xml:space="preserve">86.10  </w:t>
            </w:r>
          </w:p>
        </w:tc>
        <w:tc>
          <w:tcPr>
            <w:tcW w:w="118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jc w:val="center"/>
              <w:rPr>
                <w:color w:val="000000"/>
                <w:sz w:val="16"/>
                <w:szCs w:val="16"/>
                <w:spacing w:val="-2"/>
                <w:lang w:eastAsia="uk-UA"/>
              </w:rPr>
            </w:pPr>
            <w:r>
              <w:rPr>
                <w:color w:val="000000"/>
                <w:sz w:val="16"/>
                <w:szCs w:val="16"/>
                <w:spacing w:val="-2"/>
                <w:lang w:eastAsia="uk-UA"/>
              </w:rPr>
              <w:t>змінений ФП</w:t>
            </w:r>
          </w:p>
        </w:tc>
        <w:tc>
          <w:tcPr>
            <w:tcW w:w="164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Галузь</w:t>
            </w:r>
          </w:p>
        </w:tc>
        <w:tc>
          <w:tcPr>
            <w:tcW w:w="11568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Одиниця виміру, тис. грн (без десяткових знаків)</w:t>
            </w:r>
          </w:p>
        </w:tc>
        <w:tc>
          <w:tcPr>
            <w:tcW w:w="11568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Розмір державної частки у статутному капіталі</w:t>
            </w:r>
          </w:p>
        </w:tc>
        <w:tc>
          <w:tcPr>
            <w:tcW w:w="11568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11568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Місцезнаходження</w:t>
            </w:r>
          </w:p>
        </w:tc>
        <w:tc>
          <w:tcPr>
            <w:tcW w:w="11568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color w:val="000000"/>
                <w:sz w:val="16"/>
                <w:szCs w:val="16"/>
              </w:rPr>
              <w:t xml:space="preserve">СКОВОРОДИ ГРИГОРІЯ ВУЛ. 2 </w:t>
            </w: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Телефон</w:t>
            </w:r>
          </w:p>
        </w:tc>
        <w:tc>
          <w:tcPr>
            <w:tcW w:w="8166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>Стандарти звітності П(с)БОУ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V</w:t>
            </w:r>
            <w:r>
              <w:rPr>
                <w:sz w:val="18"/>
                <w:szCs w:val="18"/>
                <w:lang w:eastAsia="uk-UA"/>
              </w:rPr>
              <w:t> </w:t>
            </w:r>
          </w:p>
        </w:tc>
      </w:tr>
      <w:tr>
        <w:tc>
          <w:tcPr>
            <w:tcW w:w="391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20"/>
                <w:szCs w:val="20"/>
                <w:spacing w:val="-2"/>
                <w:lang w:eastAsia="uk-UA"/>
              </w:rPr>
            </w:pPr>
            <w:r>
              <w:rPr>
                <w:color w:val="000000"/>
                <w:sz w:val="20"/>
                <w:szCs w:val="20"/>
                <w:spacing w:val="-2"/>
                <w:lang w:eastAsia="uk-UA"/>
              </w:rPr>
              <w:t>Прізвище та власне ім'я керівника</w:t>
            </w:r>
          </w:p>
        </w:tc>
        <w:tc>
          <w:tcPr>
            <w:tcW w:w="8166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sz w:val="20"/>
                <w:szCs w:val="20"/>
              </w:rPr>
              <w:t>ЦАРУЛЬКОВ ЮРІЙ АНАТОЛІЙОВИЧ</w:t>
            </w:r>
          </w:p>
        </w:tc>
        <w:tc>
          <w:tcPr>
            <w:tcW w:w="2552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spacing w:val="-2"/>
                <w:lang w:eastAsia="uk-UA"/>
              </w:rPr>
            </w:pPr>
            <w:r>
              <w:rPr>
                <w:color w:val="000000"/>
                <w:sz w:val="18"/>
                <w:szCs w:val="18"/>
                <w:spacing w:val="-2"/>
                <w:lang w:eastAsia="uk-UA"/>
              </w:rPr>
              <w:t xml:space="preserve">Стандарти звітності МСФЗ 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Rule="auto" w:line="192" w:beforeAutospacing="0" w:afterAutospacing="0"/>
              <w:ind w:right="57"/>
              <w:rPr>
                <w:color w:val="00000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 </w:t>
            </w:r>
          </w:p>
        </w:tc>
      </w:tr>
    </w:tbl>
    <w:p>
      <w:pPr>
        <w:widowControl w:val="1"/>
        <w:rPr>
          <w:b w:val="1"/>
          <w:bCs w:val="1"/>
          <w:sz w:val="27"/>
          <w:szCs w:val="27"/>
          <w:lang w:eastAsia="ru-RU"/>
        </w:rPr>
      </w:pPr>
      <w:bookmarkStart w:id="0" w:name="_GoBack"/>
      <w:bookmarkEnd w:id="0"/>
      <w:r>
        <w:br w:type="page"/>
      </w:r>
    </w:p>
    <w:p>
      <w:pPr>
        <w:pStyle w:val="P2"/>
        <w:spacing w:before="0" w:after="0" w:beforeAutospacing="0" w:afterAutospacing="0"/>
        <w:jc w:val="center"/>
        <w:rPr>
          <w:lang w:val="uk-UA"/>
        </w:rPr>
      </w:pPr>
      <w:r>
        <w:rPr>
          <w:lang w:val="uk-UA"/>
        </w:rPr>
        <w:t>ЗВІТ</w:t>
      </w:r>
    </w:p>
    <w:p>
      <w:pPr>
        <w:pStyle w:val="P2"/>
        <w:spacing w:before="0" w:after="0" w:beforeAutospacing="0" w:afterAutospacing="0"/>
        <w:jc w:val="center"/>
        <w:rPr>
          <w:lang w:val="uk-UA"/>
        </w:rPr>
      </w:pPr>
      <w:r>
        <w:rPr>
          <w:lang w:val="uk-UA"/>
        </w:rPr>
        <w:t>про виконання фінансового плану</w:t>
      </w:r>
    </w:p>
    <w:p>
      <w:pPr>
        <w:pStyle w:val="P27"/>
        <w:spacing w:before="0" w:after="0" w:beforeAutospacing="0" w:afterAutospacing="0"/>
        <w:jc w:val="center"/>
        <w:rPr>
          <w:b w:val="1"/>
          <w:u w:val="single"/>
          <w:lang w:val="uk-UA"/>
        </w:rPr>
      </w:pPr>
      <w:r>
        <w:rPr>
          <w:b w:val="1"/>
          <w:bCs w:val="1"/>
          <w:u w:val="single"/>
          <w:lang w:val="uk-UA"/>
        </w:rPr>
        <w:t xml:space="preserve">за </w:t>
      </w:r>
      <w:r>
        <w:rPr>
          <w:b w:val="1"/>
          <w:bCs w:val="1"/>
          <w:u w:val="single"/>
          <w:lang w:val="uk-UA"/>
        </w:rPr>
        <w:t>2025 рік</w:t>
      </w:r>
    </w:p>
    <w:p>
      <w:pPr>
        <w:pStyle w:val="P27"/>
        <w:spacing w:before="0" w:after="0" w:beforeAutospacing="0" w:afterAutospacing="0"/>
        <w:jc w:val="center"/>
        <w:rPr>
          <w:bCs w:val="1"/>
          <w:sz w:val="18"/>
          <w:szCs w:val="18"/>
          <w:lang w:val="uk-UA"/>
        </w:rPr>
      </w:pPr>
      <w:r>
        <w:rPr>
          <w:bCs w:val="1"/>
          <w:sz w:val="18"/>
          <w:szCs w:val="18"/>
          <w:lang w:val="uk-UA"/>
        </w:rPr>
        <w:t>(квартал, рік)</w:t>
      </w:r>
    </w:p>
    <w:p>
      <w:pPr>
        <w:pStyle w:val="P2"/>
        <w:jc w:val="center"/>
        <w:rPr>
          <w:lang w:val="uk-UA"/>
        </w:rPr>
      </w:pPr>
      <w:r>
        <w:rPr>
          <w:lang w:val="uk-UA"/>
        </w:rPr>
        <w:t>Основні фінансові показники</w:t>
      </w:r>
    </w:p>
    <w:tbl>
      <w:tblPr>
        <w:tblW w:w="15447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cantSplit/>
          <w:tblHeader/>
        </w:trPr>
        <w:tc>
          <w:tcPr>
            <w:tcW w:w="1103" w:type="pct"/>
            <w:vMerge w:val="restar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65" w:type="pct"/>
            <w:vMerge w:val="restar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1148" w:type="pct"/>
            <w:gridSpan w:val="2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2384" w:type="pct"/>
            <w:gridSpan w:val="4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Звітний період (квартал, рік)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наростаючим підсумком</w:t>
            </w:r>
          </w:p>
        </w:tc>
      </w:tr>
      <w:tr>
        <w:trPr>
          <w:cantSplit/>
          <w:tblHeader/>
        </w:trPr>
        <w:tc>
          <w:tcPr>
            <w:tcW w:w="1103" w:type="pct"/>
            <w:vMerge w:val="continue"/>
            <w:shd w:val="clear" w:color="auto" w:fill="auto"/>
          </w:tcPr>
          <w:p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continue"/>
            <w:shd w:val="clear" w:color="auto" w:fill="auto"/>
          </w:tcPr>
          <w:p>
            <w:pPr>
              <w:ind w:left="-113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минулий рік </w:t>
            </w:r>
          </w:p>
        </w:tc>
        <w:tc>
          <w:tcPr>
            <w:tcW w:w="597" w:type="pct"/>
            <w:shd w:val="clear" w:color="auto" w:fill="auto"/>
          </w:tcPr>
          <w:p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поточний рік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3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 +/-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Виконання, %</w:t>
            </w:r>
          </w:p>
        </w:tc>
      </w:tr>
      <w:tr>
        <w:trPr>
          <w:cantSplit/>
          <w:tblHeader/>
        </w:trP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>
        <w:trPr>
          <w:cantSplit/>
        </w:trP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highlight w:val="lightGray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I. Формування фінансових результатів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spacing w:lineRule="auto" w:line="480" w:beforeAutospacing="0" w:afterAutospacing="0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84 190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144 918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138 767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144 918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6 151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104,43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97 332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173 866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179 725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173 866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- 5 859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96,74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Валовий прибуток/збиток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- 13 142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- 28 948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- 40 958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- 28 948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12 010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70,68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Адміністративні витрати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tabs>
                <w:tab w:val="center" w:pos="384" w:leader="none"/>
              </w:tabs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1030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10 080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20 192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12 823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20 192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7 369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157,47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Витрати на збут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1060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Інші операційні доходи, усього, в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1070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26 966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50 244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55 460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50 244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- 5 216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90,60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одержані гранти та субсидії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1073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дохід від операційної оренди активів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1074/1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1 836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1 798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1 836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102,11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  <w:t>Інші операційні витрати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1080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8 685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21 921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  <w:t>22 712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21 921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 xml:space="preserve">-  791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96,52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1100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- 4 941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  <w:t>- 21 033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98,97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EBITDA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1310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25 412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Дохід від участі в капіталі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Втрати від участі в капіталі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Інші фінансові доходи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Фінансові витрати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000000"/>
                <w:sz w:val="20"/>
                <w:szCs w:val="20"/>
                <w:lang w:val="uk-UA"/>
              </w:rPr>
              <w:t>Інші доходи, усього, в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1150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4 941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20 817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21 033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20 817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 xml:space="preserve">-  216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98,97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дохід від безоплатно одержаних активів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1150/1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2 553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15 198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21 033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15 198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- 5 835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72,26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дохід від реалізації необоротних активів, утримуваних для продажу 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1150/2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курсові різниці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Інші витрати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color w:val="000000"/>
                <w:sz w:val="20"/>
                <w:szCs w:val="20"/>
                <w:lang w:val="uk-UA"/>
              </w:rPr>
              <w:t>Фінансовий результат до оподаткування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000000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color w:val="000000"/>
                <w:sz w:val="20"/>
                <w:szCs w:val="20"/>
                <w:lang w:val="uk-UA"/>
              </w:rPr>
              <w:t>1170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color w:val="000000"/>
                <w:sz w:val="20"/>
                <w:szCs w:val="20"/>
                <w:lang w:val="uk-UA"/>
              </w:rPr>
              <w:t>1180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Чистий фінансовий результат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Прибуток 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доходів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100,33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витрат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100,33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Елементи операційних витрат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Матеріальні витрати, у тому числі: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14 835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38 151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48 738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38 151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- 10 587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78,28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сировину та основні матеріали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9 991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28 862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25 133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3 729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114,84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паливо та енергію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4 844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9 289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23 605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9 289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- 14 316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39,35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55 395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95 824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106 249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95 824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- 10 425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90,19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12 088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21 312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23 374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21 312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- 2 062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91,18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30 353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21 033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- 5 106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75,72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операційні витрати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3 426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44 765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15 866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44 765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28 899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282,14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Усього за елементами операційних витрат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100,33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II. Сплата податків, зборів та інших обов’язкових платежів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2110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1 717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7 109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6 346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7 109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763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112,02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2 391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1 034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2 391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1 357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231,24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Сплата податків та зборів до бюджету міста Києва,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2120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9 390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21 286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19 168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21 286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2 118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111,05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доходи фізичних осіб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9 351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21 262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19 126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21 262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2 136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111,17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земельний податок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39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24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18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57,14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орендна плата з юридичних осіб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прибуток підприємств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Cs w:val="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частини чистого прибутку комунальними підприємствами (установами, організаціями)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податки та збори (розшифрувати)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Інші податки, збори та платежі,</w:t>
              <w:br w:type="textWrapping"/>
              <w:t>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2130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12 088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24 719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23 373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24 719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1 346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105,76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2133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12 088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24 719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23 373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24 719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1 346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105,76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Усього виплат 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23 195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53 114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48 887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53 114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4 227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108,65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III. Капітальні інвестиції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tabs>
                <w:tab w:val="right" w:pos="3192" w:leader="none"/>
              </w:tabs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Капітальні інвестиції, усього, у тому числі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28 710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28 710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24 867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747,07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4 155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208,12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за рахунок Державного бюджету України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4 155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208,12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залучені кредитні кошти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1 829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1 829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1 829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18 883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18 883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18 883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капітальне будівництво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4040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4060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7 982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7 982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4 139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207,70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4 139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207,70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Державного бюджету України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за рахунок бюджету міста Києва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4 139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207,70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tabs>
                <w:tab w:val="left" w:pos="567" w:leader="none"/>
              </w:tabs>
              <w:spacing w:before="0" w:after="0" w:beforeAutospacing="0" w:afterAutospacing="0"/>
              <w:ind w:left="300"/>
              <w:rPr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IV. Коефіцієнтний аналіз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Рентабельність діяльності (чистий фінансовий результат, рядок 1200 / чистий дохід від реалізації продукції (товарів, робіт, послуг), рядок 1000) х 100, %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Рентабельність активів (чистий фінансовий результат, рядок 1200 / вартість активів, рядок 6020) х 100, %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Рентабельність власного капіталу (чистий фінансовий результат, рядок 1200 / власний капітал, рядок 6080) х 100, %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Рентабельність EBITDA (EBITDA, рядок 1310 / чистий дохід від реалізації продукції (товарів, робіт, послуг), рядок 1000)х100%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3,37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3,37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3,37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Коефіцієнт фінансової стійкості (власний капітал, рядок 6080 / (довгострокові зобов'язання, рядок 6030 + поточні зобов'язання, рядок 6040))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36,76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31,81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Коефіцієнт зносу основних засобів (сума зносу, рядок 6003 / первісна вартість основних засобів, рядок 6002)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5060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0,08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V. Звіт про фінансовий стан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Необоротні активи,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6000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109 076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369 345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293 689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369 345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75 656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125,76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основні засоби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104 453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250 796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175 484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250 796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75 312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142,92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221 174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625 476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542 443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625 476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83 033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115,31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6003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116 721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374 680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366 959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374 680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7 721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102,10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Оборотні активи,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46 324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61 941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40 309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61 941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21 632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153,67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4 732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4 732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4 732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гроші та їх еквіваленти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32 004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25 431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13 522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25 431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11 909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188,07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 активи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6020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en-US"/>
              </w:rPr>
            </w:pPr>
            <w:r>
              <w:rPr>
                <w:b w:val="1"/>
                <w:sz w:val="20"/>
                <w:szCs w:val="20"/>
                <w:lang w:val="en-US"/>
              </w:rPr>
              <w:t>155 400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en-US"/>
              </w:rPr>
            </w:pPr>
            <w:r>
              <w:rPr>
                <w:b w:val="1"/>
                <w:sz w:val="20"/>
                <w:szCs w:val="20"/>
                <w:lang w:val="en-US"/>
              </w:rPr>
              <w:t>431 286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349 805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431 286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81 481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123,29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24 304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12 620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3 126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12 620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9 494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403,71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Поточні зобов'язання і забезпечення,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15 562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59 875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6 269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59 875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53 606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955,10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5 484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4 787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4 787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4 787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6042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 зобов'язання і забезпечення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6050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39 866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72 495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9 395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72 495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63 100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771,63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державні гранти і субсидії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фінансові запозичення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6070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Власний капітал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6080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en-US"/>
              </w:rPr>
            </w:pPr>
            <w:r>
              <w:rPr>
                <w:b w:val="1"/>
                <w:sz w:val="20"/>
                <w:szCs w:val="20"/>
                <w:lang w:val="en-US"/>
              </w:rPr>
              <w:t>115 534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en-US"/>
              </w:rPr>
            </w:pPr>
            <w:r>
              <w:rPr>
                <w:b w:val="1"/>
                <w:sz w:val="20"/>
                <w:szCs w:val="20"/>
                <w:lang w:val="en-US"/>
              </w:rPr>
              <w:t>358 791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345 406</w:t>
            </w: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358 791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13 385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103,88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VI. Кредитна політика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Заборгованість за кредитами на початок періоду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7000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7010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довгострокові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короткострокові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tabs>
                <w:tab w:val="left" w:pos="215" w:leader="none"/>
                <w:tab w:val="center" w:pos="462" w:leader="none"/>
              </w:tabs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фінансові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Повернено залучених коштів,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7020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довгострокові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короткострокові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7022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фінансові зобов'язання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7023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Заборгованість за кредитами на кінець періоду</w:t>
            </w:r>
          </w:p>
        </w:tc>
        <w:tc>
          <w:tcPr>
            <w:tcW w:w="36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7030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VII. Дані про персонал та витрати на оплату праці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Середня кількість працівників </w:t>
            </w:r>
            <w:r>
              <w:rPr>
                <w:b w:val="1"/>
                <w:sz w:val="20"/>
                <w:szCs w:val="20"/>
                <w:lang w:val="uk-UA"/>
              </w:rPr>
              <w:t>(штатних працівників, зовнішніх сумісників та працівників, які працюють за цивільно-правовими договорами),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8000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463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541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463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 xml:space="preserve">-  78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85,58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адміністративно-управлінський персонал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100,00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8003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78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84,65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8010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55 395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95 824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106 249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95 824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- 10 425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90,19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513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151,33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адміністративно-управлінський персонал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7 122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13 912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8 069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13 912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5 843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172,41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працівники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47 766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81 399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97 841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81 399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- 16 442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8020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19 155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17 247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16 366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17 247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881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105,38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керівник, у тому числі: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42 250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42 750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28 250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42 750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14 500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151,33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iCs w:val="1"/>
                <w:sz w:val="20"/>
                <w:szCs w:val="20"/>
                <w:lang w:val="uk-UA"/>
              </w:rPr>
              <w:t>посадовий оклад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iCs w:val="1"/>
                <w:sz w:val="20"/>
                <w:szCs w:val="20"/>
                <w:lang w:val="uk-UA"/>
              </w:rPr>
              <w:t>8021/1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28 270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28 270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28 270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iCs w:val="1"/>
                <w:sz w:val="20"/>
                <w:szCs w:val="20"/>
                <w:lang w:val="uk-UA"/>
              </w:rPr>
              <w:t>преміювання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iCs w:val="1"/>
                <w:sz w:val="20"/>
                <w:szCs w:val="20"/>
                <w:lang w:val="uk-UA"/>
              </w:rPr>
              <w:t>8021/2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14 480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14 480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iCs w:val="1"/>
                <w:sz w:val="20"/>
                <w:szCs w:val="20"/>
                <w:lang w:val="uk-UA"/>
              </w:rPr>
              <w:t>інші виплати, передбачені законодавством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iCs w:val="1"/>
                <w:sz w:val="20"/>
                <w:szCs w:val="20"/>
                <w:lang w:val="uk-UA"/>
              </w:rPr>
              <w:t>8021/3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адміністративно-управлінський працівник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8022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14 131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36 229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21 013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36 229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15 216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172,41</w:t>
            </w:r>
          </w:p>
        </w:tc>
      </w:tr>
      <w:tr>
        <w:tc>
          <w:tcPr>
            <w:tcW w:w="1103" w:type="pct"/>
            <w:shd w:val="clear" w:color="auto" w:fill="auto"/>
          </w:tcPr>
          <w:p>
            <w:pPr>
              <w:pStyle w:val="P27"/>
              <w:ind w:left="-5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працівник</w:t>
            </w:r>
          </w:p>
        </w:tc>
        <w:tc>
          <w:tcPr>
            <w:tcW w:w="365" w:type="pct"/>
            <w:shd w:val="clear" w:color="auto" w:fill="auto"/>
          </w:tcPr>
          <w:p>
            <w:pPr>
              <w:pStyle w:val="P27"/>
              <w:ind w:left="-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8023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5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20 104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15 775</w:t>
            </w:r>
          </w:p>
        </w:tc>
        <w:tc>
          <w:tcPr>
            <w:tcW w:w="641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16 050</w:t>
            </w:r>
          </w:p>
        </w:tc>
        <w:tc>
          <w:tcPr>
            <w:tcW w:w="596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15 775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275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98,29</w:t>
            </w:r>
          </w:p>
        </w:tc>
      </w:tr>
    </w:tbl>
    <w:p/>
    <w:p>
      <w:pPr>
        <w:rPr>
          <w:sz w:val="18"/>
          <w:szCs w:val="18"/>
        </w:rPr>
      </w:pPr>
    </w:p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/>
    <w:p>
      <w:pPr>
        <w:outlineLvl w:val="2"/>
      </w:pPr>
    </w:p>
    <w:p>
      <w:pPr>
        <w:jc w:val="center"/>
        <w:outlineLvl w:val="2"/>
        <w:rPr>
          <w:b w:val="1"/>
          <w:bCs w:val="1"/>
          <w:sz w:val="24"/>
          <w:szCs w:val="24"/>
        </w:rPr>
      </w:pPr>
    </w:p>
    <w:p>
      <w:pPr>
        <w:jc w:val="center"/>
        <w:outlineLvl w:val="2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br w:type="page"/>
        <w:t>I. Інформація до фінансового плану</w:t>
      </w:r>
    </w:p>
    <w:p>
      <w:pPr>
        <w:jc w:val="center"/>
        <w:rPr>
          <w:sz w:val="24"/>
          <w:szCs w:val="24"/>
        </w:rPr>
      </w:pPr>
    </w:p>
    <w:p>
      <w:pPr>
        <w:numPr>
          <w:ilvl w:val="0"/>
          <w:numId w:val="14"/>
        </w:numPr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Інформація про бізнес підприємства (код рядка 1000 фінансового плану)</w:t>
      </w:r>
    </w:p>
    <w:p>
      <w:pPr>
        <w:ind w:left="720"/>
      </w:pPr>
    </w:p>
    <w:tbl>
      <w:tblPr>
        <w:tblW w:w="15695" w:type="dxa"/>
        <w:jc w:val="center"/>
        <w:tblCellSpacing w:w="20" w:type="dxa"/>
        <w:tblBorders>
          <w:top w:val="outset" w:sz="6" w:space="0" w:shadow="0" w:frame="0" w:color="auto"/>
          <w:left w:val="outset" w:sz="6" w:space="0" w:shadow="0" w:frame="0" w:color="auto"/>
          <w:bottom w:val="outset" w:sz="6" w:space="0" w:shadow="0" w:frame="0" w:color="auto"/>
          <w:right w:val="outset" w:sz="6" w:space="0" w:shadow="0" w:fram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4A0"/>
      </w:tblPr>
      <w:tblGrid/>
      <w:tr>
        <w:trPr>
          <w:tblCellSpacing w:w="20" w:type="dxa"/>
          <w:jc w:val="center"/>
        </w:trPr>
        <w:tc>
          <w:tcPr>
            <w:tcW w:w="431" w:type="pct"/>
            <w:vMerge w:val="restar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Найменування видів діяльності за </w:t>
            </w:r>
            <w:r>
              <w:rPr>
                <w:color w:val="0000FF"/>
                <w:sz w:val="20"/>
                <w:szCs w:val="20"/>
              </w:rPr>
              <w:t>КВЕД</w:t>
            </w:r>
          </w:p>
        </w:tc>
        <w:tc>
          <w:tcPr>
            <w:tcW w:w="1048" w:type="pct"/>
            <w:gridSpan w:val="3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19" w:type="pct"/>
            <w:gridSpan w:val="3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179" w:type="pct"/>
            <w:gridSpan w:val="3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Відхилення, +/-</w:t>
            </w:r>
          </w:p>
        </w:tc>
        <w:tc>
          <w:tcPr>
            <w:tcW w:w="1221" w:type="pct"/>
            <w:gridSpan w:val="3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Виконання, %</w:t>
            </w:r>
          </w:p>
        </w:tc>
      </w:tr>
      <w:tr>
        <w:trPr>
          <w:tblCellSpacing w:w="20" w:type="dxa"/>
          <w:jc w:val="center"/>
        </w:trPr>
        <w:tc>
          <w:tcPr>
            <w:tcW w:w="0" w:type="auto"/>
            <w:vMerge w:val="continue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2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кіль-</w:t>
              <w:br w:type="textWrapping"/>
              <w:t>кість продук-</w:t>
              <w:br w:type="textWrapping"/>
              <w:t>ції/нада-</w:t>
              <w:br w:type="textWrapping"/>
              <w:t>них послуг, оди-</w:t>
              <w:br w:type="textWrapping"/>
              <w:t>ниця виміру</w:t>
            </w:r>
          </w:p>
        </w:tc>
        <w:tc>
          <w:tcPr>
            <w:tcW w:w="46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оди-</w:t>
              <w:br w:type="textWrapping"/>
              <w:t>ниці (вар-</w:t>
              <w:br w:type="textWrapping"/>
              <w:t>тість продук-</w:t>
              <w:br w:type="textWrapping"/>
              <w:t>ції/нада-</w:t>
              <w:br w:type="textWrapping"/>
              <w:t>них послуг), грн</w:t>
            </w:r>
          </w:p>
        </w:tc>
        <w:tc>
          <w:tcPr>
            <w:tcW w:w="30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чистий дохід від реалі-</w:t>
              <w:br w:type="textWrapping"/>
              <w:t>зації продук-</w:t>
              <w:br w:type="textWrapping"/>
              <w:t>ції (това-</w:t>
              <w:br w:type="textWrapping"/>
              <w:t>рів, робіт, послуг), тис. грн</w:t>
            </w:r>
          </w:p>
        </w:tc>
        <w:tc>
          <w:tcPr>
            <w:tcW w:w="33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кіль-</w:t>
              <w:br w:type="textWrapping"/>
              <w:t>кість продук-</w:t>
              <w:br w:type="textWrapping"/>
              <w:t>ції/нада-</w:t>
              <w:br w:type="textWrapping"/>
              <w:t>них послуг, оди-</w:t>
              <w:br w:type="textWrapping"/>
              <w:t>ниця виміру</w:t>
            </w:r>
          </w:p>
        </w:tc>
        <w:tc>
          <w:tcPr>
            <w:tcW w:w="478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оди-</w:t>
              <w:br w:type="textWrapping"/>
              <w:t>ниці (вар-</w:t>
              <w:br w:type="textWrapping"/>
              <w:t>тість продук-</w:t>
              <w:br w:type="textWrapping"/>
              <w:t>ції/нада-</w:t>
              <w:br w:type="textWrapping"/>
              <w:t>них послуг), грн</w:t>
            </w:r>
          </w:p>
        </w:tc>
        <w:tc>
          <w:tcPr>
            <w:tcW w:w="32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чистий дохід від реалі-</w:t>
              <w:br w:type="textWrapping"/>
              <w:t>зації продук-</w:t>
              <w:br w:type="textWrapping"/>
              <w:t>ції (това-</w:t>
              <w:br w:type="textWrapping"/>
              <w:t>рів, робіт, послуг), тис. грн</w:t>
            </w:r>
          </w:p>
        </w:tc>
        <w:tc>
          <w:tcPr>
            <w:tcW w:w="36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кіль-</w:t>
              <w:br w:type="textWrapping"/>
              <w:t>кість продук-</w:t>
              <w:br w:type="textWrapping"/>
              <w:t>ції/нада-</w:t>
              <w:br w:type="textWrapping"/>
              <w:t>них послуг, оди-</w:t>
              <w:br w:type="textWrapping"/>
              <w:t>ниця виміру</w:t>
            </w:r>
          </w:p>
        </w:tc>
        <w:tc>
          <w:tcPr>
            <w:tcW w:w="4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оди-</w:t>
              <w:br w:type="textWrapping"/>
              <w:t>ниці (вар-</w:t>
              <w:br w:type="textWrapping"/>
              <w:t>тість продук-</w:t>
              <w:br w:type="textWrapping"/>
              <w:t>ції/нада-</w:t>
              <w:br w:type="textWrapping"/>
              <w:t>них послуг), грн</w:t>
            </w:r>
          </w:p>
        </w:tc>
        <w:tc>
          <w:tcPr>
            <w:tcW w:w="35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чистий дохід від реалі-</w:t>
              <w:br w:type="textWrapping"/>
              <w:t>зації продук-</w:t>
              <w:br w:type="textWrapping"/>
              <w:t>ції (това-</w:t>
              <w:br w:type="textWrapping"/>
              <w:t>рів, робіт, послуг)</w:t>
            </w:r>
          </w:p>
        </w:tc>
        <w:tc>
          <w:tcPr>
            <w:tcW w:w="38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кіль-</w:t>
              <w:br w:type="textWrapping"/>
              <w:t>кість продук-</w:t>
              <w:br w:type="textWrapping"/>
              <w:t>ції/нада-</w:t>
              <w:br w:type="textWrapping"/>
              <w:t>них послуг</w:t>
            </w:r>
          </w:p>
        </w:tc>
        <w:tc>
          <w:tcPr>
            <w:tcW w:w="486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зміна ціни оди-</w:t>
              <w:br w:type="textWrapping"/>
              <w:t>ниці (вар-</w:t>
              <w:br w:type="textWrapping"/>
              <w:t>тості продук-</w:t>
              <w:br w:type="textWrapping"/>
              <w:t>ції/нада-</w:t>
              <w:br w:type="textWrapping"/>
              <w:t>них послуг)</w:t>
            </w:r>
          </w:p>
        </w:tc>
      </w:tr>
      <w:tr>
        <w:trPr>
          <w:tblCellSpacing w:w="20" w:type="dxa"/>
          <w:jc w:val="center"/>
        </w:trPr>
        <w:tc>
          <w:tcPr>
            <w:tcW w:w="43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6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tblCellSpacing w:w="20" w:type="dxa"/>
          <w:jc w:val="center"/>
        </w:trPr>
        <w:tc>
          <w:tcPr>
            <w:tcW w:w="43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86.10   ДIЯЛЬНIСТЬ ЛIКАРНЯНИХ ЗАКЛАДIВ</w:t>
            </w:r>
          </w:p>
        </w:tc>
        <w:tc>
          <w:tcPr>
            <w:tcW w:w="294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138767</w:t>
            </w:r>
          </w:p>
        </w:tc>
        <w:tc>
          <w:tcPr>
            <w:tcW w:w="2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125547.00 люд.год</w:t>
            </w:r>
          </w:p>
        </w:tc>
        <w:tc>
          <w:tcPr>
            <w:tcW w:w="46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30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144918</w:t>
            </w:r>
          </w:p>
        </w:tc>
        <w:tc>
          <w:tcPr>
            <w:tcW w:w="33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21365.00 посл</w:t>
            </w:r>
          </w:p>
        </w:tc>
        <w:tc>
          <w:tcPr>
            <w:tcW w:w="478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</w:t>
            </w:r>
          </w:p>
        </w:tc>
        <w:tc>
          <w:tcPr>
            <w:tcW w:w="32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</w:t>
            </w:r>
          </w:p>
        </w:tc>
        <w:tc>
          <w:tcPr>
            <w:tcW w:w="36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104,43</w:t>
            </w:r>
          </w:p>
        </w:tc>
        <w:tc>
          <w:tcPr>
            <w:tcW w:w="38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6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blCellSpacing w:w="20" w:type="dxa"/>
          <w:jc w:val="center"/>
        </w:trPr>
        <w:tc>
          <w:tcPr>
            <w:tcW w:w="43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rPr>
                <w:b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</w:rPr>
              <w:t>Усього</w:t>
            </w:r>
          </w:p>
        </w:tc>
        <w:tc>
          <w:tcPr>
            <w:tcW w:w="294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138767</w:t>
            </w:r>
          </w:p>
        </w:tc>
        <w:tc>
          <w:tcPr>
            <w:tcW w:w="2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144918</w:t>
            </w:r>
          </w:p>
        </w:tc>
        <w:tc>
          <w:tcPr>
            <w:tcW w:w="33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</w:t>
            </w:r>
          </w:p>
        </w:tc>
        <w:tc>
          <w:tcPr>
            <w:tcW w:w="369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outset" w:sz="6" w:space="0" w:shadow="0" w:frame="0"/>
              <w:left w:val="outset" w:sz="6" w:space="0" w:shadow="0" w:frame="0"/>
              <w:bottom w:val="outset" w:sz="6" w:space="0" w:shadow="0" w:frame="0"/>
              <w:right w:val="outset" w:sz="6" w:space="0" w:shadow="0" w:fram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pStyle w:val="P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Формування фінансових результатів</w:t>
      </w:r>
    </w:p>
    <w:tbl>
      <w:tblPr>
        <w:tblW w:w="15735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trHeight w:hRule="atLeast" w:val="578"/>
          <w:tblHeader/>
        </w:trPr>
        <w:tc>
          <w:tcPr>
            <w:tcW w:w="1035" w:type="pct"/>
            <w:vMerge w:val="restar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2739" w:type="pct"/>
            <w:gridSpan w:val="5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Звітний період (квартал, рік) наростаючим підсумком</w:t>
            </w:r>
          </w:p>
        </w:tc>
      </w:tr>
      <w:tr>
        <w:trPr>
          <w:trHeight w:hRule="atLeast" w:val="577"/>
          <w:tblHeader/>
        </w:trPr>
        <w:tc>
          <w:tcPr>
            <w:tcW w:w="1035" w:type="pct"/>
            <w:vMerge w:val="continue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минулий рік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рік</w:t>
            </w: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відхилення, +/-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</w:t>
            </w:r>
            <w:r>
              <w:rPr>
                <w:sz w:val="20"/>
                <w:szCs w:val="20"/>
              </w:rPr>
              <w:t>, %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пояснення та обґрунтування відхилення від запланованого рівня доходів/витрат</w:t>
            </w:r>
          </w:p>
        </w:tc>
      </w:tr>
      <w:tr>
        <w:trPr>
          <w:tblHeader/>
        </w:trPr>
        <w:tc>
          <w:tcPr>
            <w:tcW w:w="10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9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2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Доходи і витрати (деталізація)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84 190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144 918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138 767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144 918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6 151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104,43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97 332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173 866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179 725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173 866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- 5 859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96,74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сировину та основні матеріали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7 557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28 861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25 133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3 728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114,83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Витрати на паливо 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тепло-, електроенергію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9 264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21 499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9 264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- 12 235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43,09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46 801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81 399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84 287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81 399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- 2 888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96,57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10 807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17 482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18 543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17 482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- 1 061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94,28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rPr>
          <w:trHeight w:hRule="atLeast" w:val="53"/>
        </w:trP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Витрати, що здійснюються для підтримання об'єкта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1016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8 448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8 448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8 448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Амортизація основних засобів і нематеріальних активів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1017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30 215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15 866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20 825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15 866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- 4 959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76,19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1018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1 952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12 520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9 438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12 520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3 082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132,66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Валовий прибуток (збиток)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- 13 142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- 28 948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- 40 958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- 28 948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12 010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70,68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Адміністративні витрати,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10 080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20 192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12 823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20 192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7 369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157,47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оренду службових автомобілів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консалтингові послуги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страхові послуги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аудиторські послуги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161,54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службові відрядження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зв'язок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1037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442,86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1038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8 594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14 425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8 336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14 425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6 089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173,04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1039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1 281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3 830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3 830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1 996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208,83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147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організаційно-технічні послуги 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консультаційні та інформаційні послуги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юридичні послуги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з оцінки майна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1047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охорону праці загальногосподарського персоналу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1048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1049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утримання основних фондів, інших необоротних активів загальногосподарського використання,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поліпшення основних фондів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1050/1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2 386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1 744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642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73,09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Витрати на збут,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1060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транспортні витрати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зберігання та упаковку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амортизація основних засобів і нематеріальних активів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рекламу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витрати на збут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1067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операційні доходи, усього,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1070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26 966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50 244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55 460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50 244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- 5 216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90,60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курсові різниці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1071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нетипові операційні доходи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1072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одержані гранти та субсидії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1073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операційні доходи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1074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26 966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50 244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55 460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50 244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- 5 216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90,60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дохід від операційної оренди активів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1074/1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416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1 836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1 798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1 836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102,11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операційні витрати, усього,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1080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8 685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21 921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22 712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21 921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 xml:space="preserve">-  791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96,52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курсові різниці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нетипові операційні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благодійну допомогу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до резерву сумнівних боргів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до недержавних пенсійних фондів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операційні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1086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8 685</w:t>
            </w:r>
          </w:p>
        </w:tc>
        <w:tc>
          <w:tcPr>
            <w:tcW w:w="4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21 921</w:t>
            </w: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22 712</w:t>
            </w: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21 921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791</w:t>
            </w: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96,52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1100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- 4 941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98,97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Дохід від участі в капіталі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фінансові доходи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Фінансові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1140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b w:val="1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rPr>
          <w:trHeight w:hRule="atLeast" w:val="56"/>
        </w:trP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доходи, усього,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4 941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20 817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20 817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 xml:space="preserve">-  216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98,97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дохід від безоплатно одержаних активів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1150/1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2 553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15 198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15 198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- 5 835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72,26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дохід від реалізації необоротних активів, утримуваних для продажу 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1150/2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курсові різниці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доходи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1152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2 388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5 619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5 619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5 619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Інші витрати, усього,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1160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курсові різниці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1161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витрати (розшифрувати)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1162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Фінансовий результат до оподаткування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1170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1180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Дохід з податку на прибуток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1181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 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прибуток 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1202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 доходів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1210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719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100,33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 витрат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1220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719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100,33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Розрахунок показника EBITDA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результат від операційної діяльності, рядок 1100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- 4 941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- 20 817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98,97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плюс амортизація, рядок 1430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30 353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- 5 106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75,72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мінус операційні доходи від курсових різниць, рядок 1071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плюс операційні витрати від курсових різниць, рядок 1081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мінус значні нетипові операційні доходи, рядок 1072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плюс значні нетипові операційні витрати, рядок 1082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1305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EBITDA</w:t>
            </w:r>
          </w:p>
        </w:tc>
        <w:tc>
          <w:tcPr>
            <w:tcW w:w="31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1310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25 412</w:t>
            </w:r>
          </w:p>
        </w:tc>
        <w:tc>
          <w:tcPr>
            <w:tcW w:w="4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44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3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- 4 890</w:t>
            </w:r>
          </w:p>
        </w:tc>
        <w:tc>
          <w:tcPr>
            <w:tcW w:w="36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  <w:r>
              <w:rPr>
                <w:b w:val="1"/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Елементи операційних витрат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Матеріальні витрати, у тому числі: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14 835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38 151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48 738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38 151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- 10 587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78,28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сировину та основні матеріали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9 991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28 862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25 133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28 862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3 729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114,84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паливо та енергію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1402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4 844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9 289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23 605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9 289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- 14 316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39,35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оплату праці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55 395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95 824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106 249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95 824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- 10 425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90,19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12 088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21 312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23 374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21 312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- 2 062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91,18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30 353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21 033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15 927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- 5 106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75,72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операційні витрати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1440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3 426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44 765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15 866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44 765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28 899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282,14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sz w:val="18"/>
                <w:szCs w:val="18"/>
                <w:lang w:val="uk-UA"/>
              </w:rPr>
            </w:pPr>
          </w:p>
        </w:tc>
      </w:tr>
      <w:tr>
        <w:tc>
          <w:tcPr>
            <w:tcW w:w="10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1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1450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4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116 097</w:t>
            </w:r>
          </w:p>
        </w:tc>
        <w:tc>
          <w:tcPr>
            <w:tcW w:w="4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4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215 260</w:t>
            </w:r>
          </w:p>
        </w:tc>
        <w:tc>
          <w:tcPr>
            <w:tcW w:w="4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215 979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719</w:t>
            </w:r>
          </w:p>
        </w:tc>
        <w:tc>
          <w:tcPr>
            <w:tcW w:w="36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100,33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P27"/>
              <w:rPr>
                <w:b w:val="1"/>
                <w:sz w:val="18"/>
                <w:szCs w:val="18"/>
                <w:lang w:val="uk-UA"/>
              </w:rPr>
            </w:pPr>
          </w:p>
        </w:tc>
      </w:tr>
    </w:tbl>
    <w:p/>
    <w:p>
      <w:pPr>
        <w:rPr>
          <w:sz w:val="18"/>
          <w:szCs w:val="18"/>
        </w:rPr>
      </w:pPr>
    </w:p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/>
    <w:p/>
    <w:p/>
    <w:p>
      <w:pPr>
        <w:pStyle w:val="P2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  <w:t>II. Розрахунки з бюджетом</w:t>
      </w:r>
    </w:p>
    <w:tbl>
      <w:tblPr>
        <w:tblW w:w="15595" w:type="dxa"/>
        <w:tblInd w:w="-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cantSplit/>
          <w:tblHeader/>
        </w:trPr>
        <w:tc>
          <w:tcPr>
            <w:tcW w:w="1500" w:type="pct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21" w:type="pct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2091" w:type="pct"/>
            <w:gridSpan w:val="4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Звітний період (квартал, рік) наростаючим підсумком</w:t>
            </w:r>
          </w:p>
        </w:tc>
      </w:tr>
      <w:tr>
        <w:trPr>
          <w:cantSplit/>
          <w:tblHeader/>
        </w:trPr>
        <w:tc>
          <w:tcPr>
            <w:tcW w:w="1500" w:type="pct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минулий рік</w:t>
            </w: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рік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636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відхилення, +/-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</w:t>
            </w:r>
            <w:r>
              <w:rPr>
                <w:sz w:val="20"/>
                <w:szCs w:val="20"/>
              </w:rPr>
              <w:t>, %</w:t>
            </w:r>
          </w:p>
        </w:tc>
      </w:tr>
      <w:tr>
        <w:trPr>
          <w:cantSplit/>
        </w:trPr>
        <w:tc>
          <w:tcPr>
            <w:tcW w:w="150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4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4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3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9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Розподіл чистого прибутку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Чистий фінансовий результат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1200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Коригування, зміна облікової політики (розшифрувати)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2005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Скоригований залишок нерозподіленого прибутку (непокритого збитку) на початок звітного періоду, усього, у тому числі: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2009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Нараховано до сплати відрахування частини чистого прибутку до бюджету міста Києва підприємствами, організаціями, установами, що належать до комунальної власності територіальної громади міста Києва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Перенесено з додаткового капіталу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Розвиток виробництва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Резервний фонд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2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2070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Сплата податків, зборів та інших обов'язкових платежів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2110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1 717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7 109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6 346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7 109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763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112,02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color w:val="FFFFFF"/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2 391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2 391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2 391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акцизний податок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рентна плата за транспортування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рентна плата за користування надрами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2117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доходи фізичних осіб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2118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податки та збори (розшифрувати)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2119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1 598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4 718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6 346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4 718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- 1 628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74,35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Сплата податків та зборів до бюджету міста Києва, усього, у тому числі: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2120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9 390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21 286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19 168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21 286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2 118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111,05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доходи фізичних осіб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9 351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21 262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19 126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21 262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2 136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111,17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земельний податок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18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57,14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орендна плата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прибуток підприємств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Cs w:val="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частини чистого прибутку комунальними підприємствами (установами, організаціями)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податки та збори (розшифрувати)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2126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2130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12 088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24 719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23 373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24 719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1 346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105,76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митні платежі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213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12 088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24 719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23 373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24 719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1 346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105,76</w:t>
            </w:r>
          </w:p>
        </w:tc>
      </w:tr>
      <w:tr>
        <w:trPr>
          <w:cantSplit/>
          <w:trHeight w:hRule="atLeast" w:val="381"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податки, збори та платежі (розшифрувати)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</w:t>
            </w: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Погашення податкового боргу, усього, у тому числі: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2140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cantSplit/>
          <w:trHeight w:hRule="atLeast" w:val="413"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  <w:trHeight w:hRule="atLeast" w:val="408"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(штрафи, пені, неустойки) (розшифрувати)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2142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Усього виплат </w:t>
            </w:r>
          </w:p>
        </w:tc>
        <w:tc>
          <w:tcPr>
            <w:tcW w:w="32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2200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54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23 195</w:t>
            </w:r>
          </w:p>
        </w:tc>
        <w:tc>
          <w:tcPr>
            <w:tcW w:w="54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53 114</w:t>
            </w:r>
          </w:p>
        </w:tc>
        <w:tc>
          <w:tcPr>
            <w:tcW w:w="59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48 887</w:t>
            </w:r>
          </w:p>
        </w:tc>
        <w:tc>
          <w:tcPr>
            <w:tcW w:w="63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53 114</w:t>
            </w:r>
          </w:p>
        </w:tc>
        <w:tc>
          <w:tcPr>
            <w:tcW w:w="45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4 227</w:t>
            </w:r>
          </w:p>
        </w:tc>
        <w:tc>
          <w:tcPr>
            <w:tcW w:w="40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108,65</w:t>
            </w:r>
          </w:p>
        </w:tc>
      </w:tr>
    </w:tbl>
    <w:p>
      <w:pPr>
        <w:rPr>
          <w:sz w:val="10"/>
          <w:szCs w:val="10"/>
        </w:rPr>
      </w:pPr>
    </w:p>
    <w:p>
      <w:pPr>
        <w:rPr>
          <w:sz w:val="18"/>
          <w:szCs w:val="18"/>
        </w:rPr>
      </w:pPr>
    </w:p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pStyle w:val="P2"/>
        <w:jc w:val="center"/>
        <w:rPr>
          <w:lang w:val="uk-UA"/>
        </w:rPr>
      </w:pPr>
    </w:p>
    <w:p>
      <w:pPr>
        <w:pStyle w:val="P2"/>
        <w:spacing w:before="0" w:after="0" w:beforeAutospacing="0" w:afterAutospacing="0"/>
        <w:jc w:val="center"/>
        <w:rPr>
          <w:lang w:val="uk-UA"/>
        </w:rPr>
      </w:pPr>
      <w:r>
        <w:rPr>
          <w:lang w:val="uk-UA"/>
        </w:rPr>
        <w:br w:type="page"/>
        <w:t>III. Рух грошових коштів (за прямим методом)</w:t>
      </w:r>
    </w:p>
    <w:p>
      <w:pPr>
        <w:widowControl w:val="1"/>
        <w:jc w:val="center"/>
        <w:outlineLvl w:val="2"/>
        <w:rPr>
          <w:bCs w:val="1"/>
          <w:sz w:val="20"/>
          <w:szCs w:val="20"/>
          <w:lang w:eastAsia="ru-RU"/>
        </w:rPr>
      </w:pPr>
      <w:r>
        <w:rPr>
          <w:bCs w:val="1"/>
          <w:sz w:val="20"/>
          <w:szCs w:val="20"/>
          <w:lang w:eastAsia="ru-RU"/>
        </w:rPr>
        <w:t>(заповнюється тільки за результатами року)</w:t>
      </w:r>
    </w:p>
    <w:p>
      <w:pPr>
        <w:pStyle w:val="P2"/>
        <w:spacing w:before="0" w:after="0" w:beforeAutospacing="0" w:afterAutospacing="0"/>
        <w:jc w:val="center"/>
        <w:rPr>
          <w:b w:val="0"/>
          <w:sz w:val="20"/>
          <w:szCs w:val="20"/>
          <w:lang w:val="uk-UA"/>
        </w:rPr>
      </w:pPr>
    </w:p>
    <w:tbl>
      <w:tblPr>
        <w:tblW w:w="15334" w:type="dxa"/>
        <w:tblInd w:w="39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00"/>
      </w:tblPr>
      <w:tblGrid/>
      <w:tr>
        <w:trPr>
          <w:cantSplit/>
          <w:tblHeader/>
        </w:trPr>
        <w:tc>
          <w:tcPr>
            <w:tcW w:w="1435" w:type="pct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74" w:type="pct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2268" w:type="pct"/>
            <w:gridSpan w:val="4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Звітний період </w:t>
            </w:r>
          </w:p>
        </w:tc>
      </w:tr>
      <w:tr>
        <w:trPr>
          <w:gridAfter w:val="0"/>
          <w:wAfter w:w="4" w:type="pct"/>
          <w:cantSplit/>
          <w:tblHeader/>
        </w:trPr>
        <w:tc>
          <w:tcPr>
            <w:tcW w:w="1435" w:type="pct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минулий рік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рік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відхилення, +/-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</w:t>
            </w:r>
            <w:r>
              <w:rPr>
                <w:sz w:val="20"/>
                <w:szCs w:val="20"/>
              </w:rPr>
              <w:t>, %</w:t>
            </w:r>
          </w:p>
        </w:tc>
      </w:tr>
      <w:tr>
        <w:trPr>
          <w:gridAfter w:val="0"/>
          <w:wAfter w:w="4" w:type="pct"/>
          <w:cantSplit/>
          <w:tblHeader/>
        </w:trPr>
        <w:tc>
          <w:tcPr>
            <w:tcW w:w="14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7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42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4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1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I. Рух коштів у результаті операційної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Надходження грошових коштів від операційної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107 332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188 803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195 261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188 803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- 6 458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96,69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Виручка від реалізації продукції (товарів, робіт, послуг)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84 190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146 403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139 441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146 403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6 962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104,99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Повернення податків і зборів,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податку на додану вартість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Цільове фінансування , у тому числі: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18 065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32 896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48 002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32 896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- 15 106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68,53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бюджетне фінансування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18 065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32 896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48 002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32 896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- 15 106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68,53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надходження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3042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авансів від покупців і замовників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3061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позики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3062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3063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Інші надходження (розшифрувати)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3070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5 077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9 504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7 818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9 504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1 686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121,57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Витрачання грошових коштів від операційної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3100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88 850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193 547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195 261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193 547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- 1 714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99,12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Розрахунки за продукцію (товари, роботи та послуги)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11 530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57 218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62 808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57 218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- 5 590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91,10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Розрахунки з оплати праці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54 225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82 237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81 812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82 237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100,52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11 709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24 719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23 373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24 719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105,76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позики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3142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3143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Зобов'язання з податків, зборів та інших обов'язкових платежів,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11 107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28 395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25 514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28 395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2 881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111,29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прибуток підприємств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2 391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2 391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231,24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акцизний податок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рентна плата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3154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податок на доходи фізичних осіб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10 949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21 262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19 126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21 262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111,17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зобов'язання з податків і зборів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3156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4 742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5 354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4 742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612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88,57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color w:val="C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відрахування частини чистого прибутку комунальними підприємствами (установами, організаціями)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3156/1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платежі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3157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Повернення коштів до бюджету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витрачання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3170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1 754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776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55,76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37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3195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18 482</w:t>
            </w:r>
          </w:p>
        </w:tc>
        <w:tc>
          <w:tcPr>
            <w:tcW w:w="46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- 4 744</w:t>
            </w:r>
          </w:p>
        </w:tc>
        <w:tc>
          <w:tcPr>
            <w:tcW w:w="642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- 4 744</w:t>
            </w:r>
          </w:p>
        </w:tc>
        <w:tc>
          <w:tcPr>
            <w:tcW w:w="51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- 4 744</w:t>
            </w:r>
          </w:p>
        </w:tc>
        <w:tc>
          <w:tcPr>
            <w:tcW w:w="46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II. Рух коштів у результаті інвестиційної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Надходження грошових коштів від інвестиційної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3200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7 998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7 998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4 155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208,12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від реалізації фінансових інвестицій,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надходження від продажу акцій та облігацій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3215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Надходження від реалізації необоротних активів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від отриманих відсотків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3225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дивідендів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3230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від деривативів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3235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Інші надходження (розшифрувати)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4 155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208,12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Витрачання грошових коштів від інвестиційної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3255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9 827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9 827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5 984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255,71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витрачання на придбання акцій та облігацій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3265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Витрачання на придбання необоротних активів, у тому числі: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3270/1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1 845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капітальне будівництво (розшифрувати)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3270/2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придбання (створення) нематеріальних активів (розшифрувати)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3270/3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Виплати за деривативами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3280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платежі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3290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7 982</w:t>
            </w:r>
          </w:p>
        </w:tc>
        <w:tc>
          <w:tcPr>
            <w:tcW w:w="642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3 843</w:t>
            </w:r>
          </w:p>
        </w:tc>
        <w:tc>
          <w:tcPr>
            <w:tcW w:w="647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7 982</w:t>
            </w:r>
          </w:p>
        </w:tc>
        <w:tc>
          <w:tcPr>
            <w:tcW w:w="511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4 139</w:t>
            </w:r>
          </w:p>
        </w:tc>
        <w:tc>
          <w:tcPr>
            <w:tcW w:w="464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207,70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Чистий рух коштів від інвестиційної діяльності </w:t>
            </w:r>
          </w:p>
        </w:tc>
        <w:tc>
          <w:tcPr>
            <w:tcW w:w="37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3295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46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- 1 829</w:t>
            </w:r>
          </w:p>
        </w:tc>
        <w:tc>
          <w:tcPr>
            <w:tcW w:w="642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- 1 829</w:t>
            </w:r>
          </w:p>
        </w:tc>
        <w:tc>
          <w:tcPr>
            <w:tcW w:w="51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- 1 829</w:t>
            </w:r>
          </w:p>
        </w:tc>
        <w:tc>
          <w:tcPr>
            <w:tcW w:w="46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III. Рух коштів у результаті фінансової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3300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Надходження від власного капіталу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3305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позики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3312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3313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Інші надходження (розшифрувати) </w:t>
            </w:r>
          </w:p>
        </w:tc>
        <w:tc>
          <w:tcPr>
            <w:tcW w:w="37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3320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Витрачання грошових коштів від фінансової діяльності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3330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Витрачання на викуп власних акцій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3335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3340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позики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3342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облігації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3343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Сплата дивідендів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3350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Витрачення на сплату відсотків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3360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Витрачення на сплату заборгованості з фінансової оренди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3370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платежі (розшифрувати)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3380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 xml:space="preserve">Чистий рух коштів від фінансової діяльності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3395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IV.Чистий рух грошових коштів за звітний період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bCs w:val="1"/>
                <w:sz w:val="20"/>
                <w:szCs w:val="20"/>
                <w:lang w:val="uk-UA"/>
              </w:rPr>
              <w:t>3400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18 482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- 6 573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- 6 573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- 6 573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Залишок коштів на початок періоду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3405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13 522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32 004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13 522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32 004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18 482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236,68</w:t>
            </w: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3410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rPr>
          <w:gridAfter w:val="0"/>
          <w:wAfter w:w="4" w:type="pct"/>
          <w:cantSplit/>
        </w:trPr>
        <w:tc>
          <w:tcPr>
            <w:tcW w:w="1435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Залишок коштів на кінець періоду</w:t>
            </w:r>
          </w:p>
        </w:tc>
        <w:tc>
          <w:tcPr>
            <w:tcW w:w="37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3415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32 004</w:t>
            </w:r>
          </w:p>
        </w:tc>
        <w:tc>
          <w:tcPr>
            <w:tcW w:w="46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25 431</w:t>
            </w:r>
          </w:p>
        </w:tc>
        <w:tc>
          <w:tcPr>
            <w:tcW w:w="642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13 522</w:t>
            </w:r>
          </w:p>
        </w:tc>
        <w:tc>
          <w:tcPr>
            <w:tcW w:w="64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25 431</w:t>
            </w:r>
          </w:p>
        </w:tc>
        <w:tc>
          <w:tcPr>
            <w:tcW w:w="511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11 909</w:t>
            </w:r>
          </w:p>
        </w:tc>
        <w:tc>
          <w:tcPr>
            <w:tcW w:w="464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188,07</w:t>
            </w:r>
          </w:p>
        </w:tc>
      </w:tr>
    </w:tbl>
    <w:p/>
    <w:p/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/>
    <w:p/>
    <w:p>
      <w:pPr>
        <w:pStyle w:val="P2"/>
        <w:jc w:val="center"/>
        <w:rPr>
          <w:lang w:val="uk-UA"/>
        </w:rPr>
      </w:pPr>
    </w:p>
    <w:p>
      <w:pPr>
        <w:pStyle w:val="P2"/>
        <w:jc w:val="center"/>
        <w:rPr>
          <w:lang w:val="uk-UA"/>
        </w:rPr>
      </w:pPr>
      <w:r>
        <w:rPr>
          <w:lang w:val="uk-UA"/>
        </w:rPr>
        <w:br w:type="page"/>
        <w:t>IV. Капітальні інвестиції</w:t>
      </w:r>
    </w:p>
    <w:p>
      <w:pPr>
        <w:pStyle w:val="P2"/>
        <w:spacing w:before="0" w:after="0" w:beforeAutospacing="0" w:afterAutospacing="0"/>
        <w:rPr>
          <w:b w:val="0"/>
          <w:sz w:val="20"/>
          <w:szCs w:val="20"/>
          <w:lang w:val="uk-UA"/>
        </w:rPr>
      </w:pPr>
    </w:p>
    <w:tbl>
      <w:tblPr>
        <w:tblW w:w="15421" w:type="dxa"/>
        <w:tblInd w:w="13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cantSplit/>
          <w:tblHeader/>
        </w:trPr>
        <w:tc>
          <w:tcPr>
            <w:tcW w:w="1519" w:type="pct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62" w:type="pct"/>
            <w:vMerge w:val="restar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969" w:type="pct"/>
            <w:gridSpan w:val="2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2151" w:type="pct"/>
            <w:gridSpan w:val="4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Звітний період (квартал, рік) наростаючим підсумком</w:t>
            </w:r>
          </w:p>
        </w:tc>
      </w:tr>
      <w:tr>
        <w:trPr>
          <w:cantSplit/>
          <w:tblHeader/>
        </w:trPr>
        <w:tc>
          <w:tcPr>
            <w:tcW w:w="1519" w:type="pct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continue"/>
            <w:shd w:val="clear" w:color="auto" w:fill="auto"/>
          </w:tcPr>
          <w:p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минулий рік</w:t>
            </w:r>
          </w:p>
        </w:tc>
        <w:tc>
          <w:tcPr>
            <w:tcW w:w="505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рік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506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відхилення, +/-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</w:t>
            </w:r>
            <w:r>
              <w:rPr>
                <w:sz w:val="20"/>
                <w:szCs w:val="20"/>
              </w:rPr>
              <w:t>, %</w:t>
            </w:r>
          </w:p>
        </w:tc>
      </w:tr>
      <w:tr>
        <w:trPr>
          <w:cantSplit/>
        </w:trPr>
        <w:tc>
          <w:tcPr>
            <w:tcW w:w="151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9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05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7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06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03" w:type="pct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Капітальні інвестиції, усього: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4000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28 710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28 710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24 867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747,07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Cs w:val="1"/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ind w:hanging="10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4 155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208,12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4001/2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7 998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4 155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208,12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капітальне будівництво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4010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4011/2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4020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20 160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4021/2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3 980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4030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568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коштів, усього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4031/2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4040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4041/2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4050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4051/2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b w:val="1"/>
                <w:sz w:val="20"/>
                <w:szCs w:val="20"/>
                <w:lang w:val="uk-UA"/>
              </w:rPr>
              <w:t>4060</w:t>
            </w:r>
            <w:r>
              <w:rPr>
                <w:b w:val="1"/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7 982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7 982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4 139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b w:val="1"/>
                <w:sz w:val="20"/>
                <w:szCs w:val="20"/>
                <w:lang w:val="uk-UA"/>
              </w:rPr>
            </w:pPr>
            <w:r>
              <w:rPr>
                <w:b w:val="1"/>
                <w:sz w:val="20"/>
                <w:szCs w:val="20"/>
                <w:lang w:val="uk-UA"/>
              </w:rPr>
              <w:t>207,70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т.ч. за рахунок бюджетних коштів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4 139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207,70</w:t>
            </w: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Державного бюджету України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4061/1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  <w:tr>
        <w:tc>
          <w:tcPr>
            <w:tcW w:w="1519" w:type="pct"/>
            <w:shd w:val="clear" w:color="auto" w:fill="auto"/>
          </w:tcPr>
          <w:p>
            <w:pPr>
              <w:pStyle w:val="P27"/>
              <w:numPr>
                <w:ilvl w:val="0"/>
                <w:numId w:val="11"/>
              </w:numPr>
              <w:tabs>
                <w:tab w:val="left" w:pos="567" w:leader="none"/>
              </w:tabs>
              <w:spacing w:before="0" w:after="0" w:beforeAutospacing="0" w:afterAutospacing="0"/>
              <w:ind w:firstLine="357"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рахунок бюджету міста Києва</w:t>
            </w:r>
          </w:p>
        </w:tc>
        <w:tc>
          <w:tcPr>
            <w:tcW w:w="362" w:type="pct"/>
            <w:shd w:val="clear" w:color="auto" w:fill="auto"/>
          </w:tcPr>
          <w:p>
            <w:pPr>
              <w:pStyle w:val="P27"/>
              <w:ind w:lef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FFFFFF"/>
                <w:sz w:val="20"/>
                <w:szCs w:val="20"/>
                <w:lang w:val="uk-UA"/>
              </w:rPr>
              <w:t>@</w:t>
            </w:r>
            <w:r>
              <w:rPr>
                <w:sz w:val="20"/>
                <w:szCs w:val="20"/>
                <w:lang w:val="uk-UA"/>
              </w:rPr>
              <w:t>4061/2</w:t>
            </w:r>
            <w:r>
              <w:rPr>
                <w:color w:val="FFFFFF"/>
                <w:sz w:val="20"/>
                <w:szCs w:val="20"/>
                <w:lang w:val="uk-UA"/>
              </w:rPr>
              <w:t>@</w:t>
            </w:r>
          </w:p>
        </w:tc>
        <w:tc>
          <w:tcPr>
            <w:tcW w:w="459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50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3 843</w:t>
            </w:r>
          </w:p>
        </w:tc>
        <w:tc>
          <w:tcPr>
            <w:tcW w:w="597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7 982</w:t>
            </w:r>
          </w:p>
        </w:tc>
        <w:tc>
          <w:tcPr>
            <w:tcW w:w="506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4 139</w:t>
            </w:r>
          </w:p>
        </w:tc>
        <w:tc>
          <w:tcPr>
            <w:tcW w:w="503" w:type="pc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207,70</w:t>
            </w:r>
          </w:p>
        </w:tc>
      </w:tr>
    </w:tbl>
    <w:p>
      <w:r>
        <w:t xml:space="preserve"> </w:t>
      </w:r>
    </w:p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419" w:type="dxa"/>
            <w:vAlign w:val="bottom"/>
            <w:hideMark/>
          </w:tcPr>
          <w:p>
            <w:pPr>
              <w:spacing w:before="12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419" w:type="dxa"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>
      <w:pPr>
        <w:tabs>
          <w:tab w:val="left" w:pos="3369" w:leader="none"/>
        </w:tabs>
      </w:pPr>
      <w:r>
        <w:tab/>
      </w:r>
    </w:p>
    <w:p>
      <w:pPr>
        <w:pStyle w:val="P2"/>
        <w:jc w:val="center"/>
        <w:rPr>
          <w:lang w:val="uk-UA"/>
        </w:rPr>
      </w:pPr>
    </w:p>
    <w:p>
      <w:pPr>
        <w:pStyle w:val="P2"/>
        <w:jc w:val="center"/>
        <w:rPr>
          <w:lang w:val="uk-UA"/>
        </w:rPr>
      </w:pPr>
      <w:r>
        <w:rPr>
          <w:lang w:val="uk-UA"/>
        </w:rPr>
        <w:t>V. Інформація щодо отримання та повернення залучених коштів</w:t>
      </w:r>
    </w:p>
    <w:tbl>
      <w:tblPr>
        <w:tblW w:w="1556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0"/>
        </w:trPr>
        <w:tc>
          <w:tcPr>
            <w:tcW w:w="166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Зобов'язання</w:t>
            </w:r>
          </w:p>
        </w:tc>
        <w:tc>
          <w:tcPr>
            <w:tcW w:w="283" w:type="dxa"/>
            <w:vMerge w:val="restart"/>
            <w:tcBorders>
              <w:left w:val="nil"/>
              <w:right w:val="single" w:sz="4" w:space="0" w:shadow="0" w:fram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shadow="0" w:frame="0"/>
            </w:tcBorders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Заборгованість за кредитами на початок  _______ року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Отримано залучених коштів за звітний період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(наростаючим підсумком)</w:t>
            </w:r>
          </w:p>
        </w:tc>
        <w:tc>
          <w:tcPr>
            <w:tcW w:w="7085" w:type="dxa"/>
            <w:gridSpan w:val="10"/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Повернено залучених коштів за звітний період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(наростаючим підсумком)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Заборгованість за кредитами станом на</w:t>
            </w:r>
            <w:r>
              <w:rPr>
                <w:sz w:val="20"/>
                <w:szCs w:val="20"/>
                <w:lang w:val="ru-RU"/>
              </w:rPr>
              <w:t xml:space="preserve"> звітний період</w:t>
            </w:r>
          </w:p>
        </w:tc>
      </w:tr>
      <w:tr>
        <w:trPr>
          <w:trHeight w:hRule="atLeast" w:val="20"/>
        </w:trPr>
        <w:tc>
          <w:tcPr>
            <w:tcW w:w="1668" w:type="dxa"/>
            <w:vMerge w:val="continue"/>
            <w:tcBorders>
              <w:right w:val="nil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tcBorders>
              <w:left w:val="nil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тому числі</w:t>
            </w:r>
          </w:p>
        </w:tc>
        <w:tc>
          <w:tcPr>
            <w:tcW w:w="709" w:type="dxa"/>
            <w:vMerge w:val="restart"/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11" w:type="dxa"/>
            <w:vMerge w:val="restart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415" w:type="dxa"/>
            <w:gridSpan w:val="2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сума основного боргу</w:t>
            </w:r>
          </w:p>
        </w:tc>
        <w:tc>
          <w:tcPr>
            <w:tcW w:w="1418" w:type="dxa"/>
            <w:gridSpan w:val="2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відсотки, нараховані протягом року</w:t>
            </w:r>
          </w:p>
        </w:tc>
        <w:tc>
          <w:tcPr>
            <w:tcW w:w="1417" w:type="dxa"/>
            <w:gridSpan w:val="2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відсотки сплачені</w:t>
            </w:r>
          </w:p>
        </w:tc>
        <w:tc>
          <w:tcPr>
            <w:tcW w:w="1418" w:type="dxa"/>
            <w:gridSpan w:val="2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курсові різниці (сума основного боргу) (+/ )</w:t>
            </w:r>
          </w:p>
        </w:tc>
        <w:tc>
          <w:tcPr>
            <w:tcW w:w="1417" w:type="dxa"/>
            <w:gridSpan w:val="2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курсові різниці (відсотки)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(+/ )</w:t>
            </w:r>
          </w:p>
        </w:tc>
        <w:tc>
          <w:tcPr>
            <w:tcW w:w="851" w:type="dxa"/>
            <w:vMerge w:val="restart"/>
          </w:tcPr>
          <w:p>
            <w:pPr>
              <w:pStyle w:val="P27"/>
              <w:spacing w:before="0" w:after="0" w:beforeAutospacing="0" w:afterAutospacing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559" w:type="dxa"/>
            <w:gridSpan w:val="2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тому числі</w:t>
            </w:r>
          </w:p>
        </w:tc>
      </w:tr>
      <w:tr>
        <w:trPr>
          <w:trHeight w:hRule="atLeast" w:val="20"/>
        </w:trPr>
        <w:tc>
          <w:tcPr>
            <w:tcW w:w="1668" w:type="dxa"/>
            <w:vMerge w:val="continue"/>
            <w:tcBorders>
              <w:bottom w:val="single" w:sz="4" w:space="0" w:shadow="0" w:frame="0"/>
              <w:right w:val="nil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continue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 основного боргу</w:t>
            </w:r>
          </w:p>
        </w:tc>
        <w:tc>
          <w:tcPr>
            <w:tcW w:w="851" w:type="dxa"/>
            <w:shd w:val="clear" w:color="auto" w:fill="auto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відсотки нарахо-</w:t>
              <w:br w:type="textWrapping"/>
              <w:t>вані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</w:tcPr>
          <w:p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851" w:type="dxa"/>
            <w:vMerge w:val="continue"/>
          </w:tcPr>
          <w:p>
            <w:pPr>
              <w:pStyle w:val="P27"/>
              <w:spacing w:before="0" w:after="0" w:beforeAutospacing="0" w:afterAutospacing="0"/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 основного боргу</w:t>
            </w:r>
          </w:p>
        </w:tc>
        <w:tc>
          <w:tcPr>
            <w:tcW w:w="850" w:type="dxa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відсотки нарахо-</w:t>
              <w:br w:type="textWrapping"/>
              <w:t>вані</w:t>
            </w:r>
          </w:p>
        </w:tc>
      </w:tr>
      <w:tr>
        <w:trPr>
          <w:trHeight w:hRule="atLeast" w:val="20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ind w:left="-57" w:right="-57"/>
              <w:jc w:val="center"/>
              <w:rPr>
                <w:b w:val="1"/>
                <w:bCs w:val="1"/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1</w:t>
            </w:r>
            <w:r>
              <w:rPr>
                <w:color w:val="FFFFFF"/>
                <w:sz w:val="20"/>
                <w:szCs w:val="20"/>
              </w:rPr>
              <w:t>/1</w:t>
            </w:r>
          </w:p>
        </w:tc>
        <w:tc>
          <w:tcPr>
            <w:tcW w:w="993" w:type="dxa"/>
            <w:tcBorders>
              <w:left w:val="single" w:sz="4" w:space="0" w:shadow="0" w:fram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>
        <w:trPr>
          <w:trHeight w:hRule="atLeast" w:val="20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Довгострокові зобов'язання, усього, у тому числі: (розшифрувати)</w:t>
            </w:r>
          </w:p>
        </w:tc>
        <w:tc>
          <w:tcPr>
            <w:tcW w:w="28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color w:val="FFFFFF"/>
                <w:sz w:val="20"/>
                <w:szCs w:val="20"/>
              </w:rPr>
              <w:t>1</w:t>
            </w:r>
            <w:r>
              <w:rPr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993" w:type="dxa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>
            <w:pPr>
              <w:pStyle w:val="P27"/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hRule="atLeast" w:val="20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Короткострокові зобов'язання, усього, у тому числі: (розшифрувати)</w:t>
            </w:r>
          </w:p>
        </w:tc>
        <w:tc>
          <w:tcPr>
            <w:tcW w:w="28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color w:val="FFFFFF"/>
                <w:sz w:val="20"/>
                <w:szCs w:val="20"/>
              </w:rPr>
              <w:t>2</w:t>
            </w:r>
            <w:r>
              <w:rPr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993" w:type="dxa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>
            <w:pPr>
              <w:pStyle w:val="P27"/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hRule="atLeast" w:val="20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bCs w:val="1"/>
                <w:sz w:val="20"/>
                <w:szCs w:val="20"/>
                <w:lang w:val="uk-UA"/>
              </w:rPr>
              <w:t>Інші фінансові зобов'язання, усього, у тому числі: (розшифрувати)</w:t>
            </w:r>
          </w:p>
        </w:tc>
        <w:tc>
          <w:tcPr>
            <w:tcW w:w="28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color w:val="FFFFFF"/>
                <w:sz w:val="20"/>
                <w:szCs w:val="20"/>
              </w:rPr>
              <w:t>3</w:t>
            </w:r>
            <w:r>
              <w:rPr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993" w:type="dxa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>
            <w:pPr>
              <w:pStyle w:val="P27"/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hRule="atLeast" w:val="20"/>
        </w:trPr>
        <w:tc>
          <w:tcPr>
            <w:tcW w:w="1668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ind w:left="-57" w:right="-57"/>
              <w:rPr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8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color w:val="FFFFFF"/>
                <w:sz w:val="20"/>
                <w:szCs w:val="20"/>
                <w:lang w:val="en-US"/>
              </w:rPr>
              <w:t>@</w:t>
            </w:r>
            <w:r>
              <w:rPr>
                <w:color w:val="FFFFFF"/>
                <w:sz w:val="20"/>
                <w:szCs w:val="20"/>
              </w:rPr>
              <w:t>4</w:t>
            </w:r>
            <w:r>
              <w:rPr>
                <w:color w:val="FFFFFF"/>
                <w:sz w:val="20"/>
                <w:szCs w:val="20"/>
                <w:lang w:val="en-US"/>
              </w:rPr>
              <w:t>@</w:t>
            </w:r>
          </w:p>
        </w:tc>
        <w:tc>
          <w:tcPr>
            <w:tcW w:w="993" w:type="dxa"/>
            <w:tcBorders>
              <w:left w:val="single" w:sz="4" w:space="0" w:shadow="0" w:frame="0"/>
            </w:tcBorders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/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/>
    <w:p>
      <w:pPr>
        <w:pStyle w:val="P2"/>
        <w:spacing w:before="0" w:after="0" w:beforeAutospacing="0" w:afterAutospacing="0"/>
        <w:ind w:right="34"/>
        <w:jc w:val="center"/>
        <w:rPr>
          <w:lang w:val="uk-UA"/>
        </w:rPr>
      </w:pPr>
    </w:p>
    <w:p>
      <w:pPr>
        <w:pStyle w:val="P2"/>
        <w:spacing w:before="0" w:after="0" w:beforeAutospacing="0" w:afterAutospacing="0"/>
        <w:ind w:right="34"/>
        <w:jc w:val="center"/>
        <w:rPr>
          <w:lang w:val="uk-UA"/>
        </w:rPr>
      </w:pPr>
    </w:p>
    <w:p>
      <w:pPr>
        <w:pStyle w:val="P2"/>
        <w:spacing w:before="0" w:after="0" w:beforeAutospacing="0" w:afterAutospacing="0"/>
        <w:ind w:right="34"/>
        <w:jc w:val="center"/>
        <w:rPr>
          <w:lang w:val="uk-UA"/>
        </w:rPr>
      </w:pPr>
      <w:r>
        <w:rPr>
          <w:lang w:val="uk-UA"/>
        </w:rPr>
        <w:br w:type="page"/>
        <w:t>VI. Джерела капітальних інвестицій</w:t>
      </w:r>
    </w:p>
    <w:p>
      <w:pPr>
        <w:jc w:val="right"/>
        <w:rPr>
          <w:lang w:val="en-US"/>
        </w:rPr>
      </w:pPr>
      <w:r>
        <w:t>тис. грн (без ПДВ)</w:t>
      </w:r>
    </w:p>
    <w:tbl>
      <w:tblPr>
        <w:tblW w:w="16114" w:type="dxa"/>
        <w:tblInd w:w="-31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cantSplit/>
          <w:trHeight w:hRule="atLeast" w:val="698"/>
          <w:tblHeader/>
        </w:trPr>
        <w:tc>
          <w:tcPr>
            <w:tcW w:w="1560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il"/>
            </w:tcBorders>
            <w:shd w:val="clear" w:color="auto" w:fill="auto"/>
            <w:vAlign w:val="center"/>
          </w:tcPr>
          <w:p>
            <w:pPr>
              <w:pStyle w:val="P27"/>
              <w:spacing w:before="0" w:after="0" w:beforeAutospacing="0" w:afterAutospacing="0"/>
              <w:ind w:hanging="30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об'єкта</w:t>
            </w:r>
          </w:p>
        </w:tc>
        <w:tc>
          <w:tcPr>
            <w:tcW w:w="284" w:type="dxa"/>
            <w:vMerge w:val="restart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30" w:left="-57" w:right="-57"/>
              <w:jc w:val="center"/>
              <w:rPr>
                <w:color w:val="FFFFFF"/>
                <w:sz w:val="8"/>
                <w:szCs w:val="8"/>
                <w:lang w:val="uk-UA"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Залучення</w:t>
            </w:r>
          </w:p>
          <w:p>
            <w:pPr>
              <w:ind w:left="-57" w:right="-5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кредитних коштів</w:t>
            </w:r>
            <w:r>
              <w:rPr>
                <w:sz w:val="20"/>
                <w:szCs w:val="20"/>
                <w:lang w:val="ru-RU"/>
              </w:rPr>
              <w:t xml:space="preserve"> за звітний період</w:t>
            </w:r>
            <w:r>
              <w:rPr>
                <w:sz w:val="20"/>
                <w:szCs w:val="20"/>
              </w:rPr>
              <w:t xml:space="preserve"> (наростаючим підсумком)</w:t>
            </w:r>
          </w:p>
        </w:tc>
        <w:tc>
          <w:tcPr>
            <w:tcW w:w="2551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Бюджетне фінансування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за звітний період </w:t>
            </w:r>
            <w:r>
              <w:rPr>
                <w:sz w:val="20"/>
                <w:szCs w:val="20"/>
              </w:rPr>
              <w:t>(наростаючим підсумком)</w:t>
            </w:r>
          </w:p>
        </w:tc>
        <w:tc>
          <w:tcPr>
            <w:tcW w:w="2976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Власні кошти (розшифрувати)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за звітний період </w:t>
            </w:r>
            <w:r>
              <w:rPr>
                <w:sz w:val="20"/>
                <w:szCs w:val="20"/>
              </w:rPr>
              <w:t>(наростаючим підсумком)</w:t>
            </w:r>
          </w:p>
        </w:tc>
        <w:tc>
          <w:tcPr>
            <w:tcW w:w="3090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джерела (розшифрувати)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за звітний період </w:t>
            </w:r>
            <w:r>
              <w:rPr>
                <w:sz w:val="20"/>
                <w:szCs w:val="20"/>
              </w:rPr>
              <w:t>(наростаючим підсумком)</w:t>
            </w:r>
          </w:p>
        </w:tc>
        <w:tc>
          <w:tcPr>
            <w:tcW w:w="2723" w:type="dxa"/>
            <w:gridSpan w:val="4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за звітний період </w:t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(наростаючим підсумком)</w:t>
            </w:r>
          </w:p>
        </w:tc>
      </w:tr>
      <w:tr>
        <w:trPr>
          <w:cantSplit/>
          <w:trHeight w:hRule="atLeast" w:val="697"/>
          <w:tblHeader/>
        </w:trPr>
        <w:tc>
          <w:tcPr>
            <w:tcW w:w="1560" w:type="dxa"/>
            <w:vMerge w:val="continue"/>
            <w:tcBorders>
              <w:top w:val="nil"/>
              <w:left w:val="single" w:sz="4" w:space="0" w:shadow="0" w:frame="0"/>
              <w:bottom w:val="single" w:sz="4" w:space="0" w:shadow="0" w:frame="0"/>
              <w:right w:val="nil"/>
            </w:tcBorders>
            <w:shd w:val="clear" w:color="auto" w:fill="auto"/>
            <w:vAlign w:val="center"/>
          </w:tcPr>
          <w:p>
            <w:pPr>
              <w:pStyle w:val="P27"/>
              <w:spacing w:before="0" w:after="0" w:beforeAutospacing="0" w:afterAutospacing="0"/>
              <w:ind w:hanging="30" w:left="-57" w:right="-113"/>
              <w:outlineLvl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  <w:vMerge w:val="continue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30" w:left="-57" w:right="-57"/>
              <w:jc w:val="center"/>
              <w:rPr>
                <w:color w:val="FFFFFF"/>
                <w:sz w:val="8"/>
                <w:szCs w:val="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відхи </w:t>
              <w:br w:type="textWrapping"/>
              <w:t>лення, +/-</w:t>
            </w: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вико </w:t>
              <w:br w:type="textWrapping"/>
              <w:t>нання, %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відхи </w:t>
              <w:br w:type="textWrapping"/>
              <w:t>лення, +/-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вико </w:t>
              <w:br w:type="textWrapping"/>
              <w:t>нання, %</w:t>
            </w: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відхи </w:t>
              <w:br w:type="textWrapping"/>
              <w:t>лення, +/-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вико </w:t>
              <w:br w:type="textWrapping"/>
              <w:t>нання, %</w:t>
            </w: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відхи </w:t>
              <w:br w:type="textWrapping"/>
              <w:t>лення, +/-</w:t>
            </w: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вико </w:t>
              <w:br w:type="textWrapping"/>
              <w:t>нання, %</w:t>
            </w: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tabs>
                <w:tab w:val="left" w:pos="1026" w:leader="none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відхи </w:t>
              <w:br w:type="textWrapping"/>
              <w:t>лення, +/-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вико </w:t>
              <w:br w:type="textWrapping"/>
              <w:t>нання, %</w:t>
            </w:r>
          </w:p>
        </w:tc>
      </w:tr>
      <w:tr>
        <w:trPr>
          <w:cantSplit/>
          <w:tblHeader/>
        </w:trPr>
        <w:tc>
          <w:tcPr>
            <w:tcW w:w="15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il"/>
            </w:tcBorders>
            <w:shd w:val="clear" w:color="auto" w:fill="auto"/>
          </w:tcPr>
          <w:p>
            <w:pPr>
              <w:pStyle w:val="P27"/>
              <w:spacing w:before="0" w:after="0" w:beforeAutospacing="0" w:afterAutospacing="0"/>
              <w:ind w:hanging="30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27"/>
              <w:ind w:hanging="28" w:left="-57" w:right="-57"/>
              <w:jc w:val="center"/>
              <w:rPr>
                <w:color w:val="FFFFFF"/>
                <w:sz w:val="8"/>
                <w:szCs w:val="8"/>
                <w:lang w:val="en-US"/>
              </w:rPr>
            </w:pPr>
            <w:r>
              <w:rPr>
                <w:color w:val="FFFFFF"/>
                <w:sz w:val="8"/>
                <w:szCs w:val="8"/>
                <w:lang w:val="en-US"/>
              </w:rPr>
              <w:t>1/1</w:t>
            </w:r>
          </w:p>
        </w:tc>
        <w:tc>
          <w:tcPr>
            <w:tcW w:w="850" w:type="dxa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803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757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708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708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851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50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09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680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879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710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pStyle w:val="P27"/>
              <w:ind w:hanging="28" w:left="-57" w:right="-57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</w:t>
            </w:r>
          </w:p>
        </w:tc>
      </w:tr>
      <w:tr>
        <w:trPr>
          <w:cantSplit/>
        </w:trPr>
        <w:tc>
          <w:tcPr>
            <w:tcW w:w="1560" w:type="dxa"/>
            <w:tcBorders>
              <w:top w:val="single" w:sz="4" w:space="0" w:shadow="0" w:frame="0"/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капітальне         будівництво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1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</w:tr>
      <w:tr>
        <w:trPr>
          <w:cantSplit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(виготовлення основних засобів (розшифрувати)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2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1 294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1 294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18 866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18 866</w:t>
            </w: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20 160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20 160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</w:tr>
      <w:tr>
        <w:trPr>
          <w:cantSplit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(створення) інших необоротних матеріальних активів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3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535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535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568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568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</w:tr>
      <w:tr>
        <w:trPr>
          <w:cantSplit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(створення) нематеріальних активів (розшифрувати про ліцензійне програмне забезпечення)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en-US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4</w:t>
            </w:r>
            <w:r>
              <w:rPr>
                <w:color w:val="FFFFFF"/>
                <w:sz w:val="8"/>
                <w:szCs w:val="8"/>
                <w:lang w:val="en-US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cantSplit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250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модернізація, модифікація (добудова, дообладнанн, реконструкція) (розшифрувати)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en-US"/>
              </w:rPr>
            </w:pPr>
            <w:r>
              <w:rPr>
                <w:color w:val="FFFFFF"/>
                <w:sz w:val="8"/>
                <w:szCs w:val="8"/>
                <w:lang w:val="en-US"/>
              </w:rPr>
              <w:t>@</w:t>
            </w:r>
            <w:r>
              <w:rPr>
                <w:color w:val="FFFFFF"/>
                <w:sz w:val="8"/>
                <w:szCs w:val="8"/>
              </w:rPr>
              <w:t>5</w:t>
            </w:r>
            <w:r>
              <w:rPr>
                <w:color w:val="FFFFFF"/>
                <w:sz w:val="8"/>
                <w:szCs w:val="8"/>
                <w:lang w:val="en-US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cantSplit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>
            <w:pPr>
              <w:pStyle w:val="P27"/>
              <w:numPr>
                <w:ilvl w:val="0"/>
                <w:numId w:val="21"/>
              </w:numPr>
              <w:spacing w:before="0" w:after="0" w:beforeAutospacing="0" w:afterAutospacing="0"/>
              <w:ind w:hanging="176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6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3 843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7 982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4 139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207,70</w:t>
            </w: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3 843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7 982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4 139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207,70</w:t>
            </w:r>
          </w:p>
        </w:tc>
      </w:tr>
      <w:tr>
        <w:trPr>
          <w:cantSplit/>
        </w:trPr>
        <w:tc>
          <w:tcPr>
            <w:tcW w:w="1560" w:type="dxa"/>
            <w:tcBorders>
              <w:bottom w:val="single" w:sz="4" w:space="0" w:shadow="0" w:frame="0"/>
              <w:right w:val="nil"/>
            </w:tcBorders>
            <w:shd w:val="clear" w:color="auto" w:fill="auto"/>
          </w:tcPr>
          <w:p>
            <w:pPr>
              <w:pStyle w:val="P27"/>
              <w:spacing w:before="0" w:after="0" w:beforeAutospacing="0" w:afterAutospacing="0"/>
              <w:ind w:hanging="28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7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3 843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7 998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4 155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208,12</w:t>
            </w: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1 829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1 829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18 883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18 883</w:t>
            </w: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3 843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28 710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24 867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747,07</w:t>
            </w:r>
          </w:p>
        </w:tc>
      </w:tr>
      <w:tr>
        <w:trPr>
          <w:cantSplit/>
        </w:trPr>
        <w:tc>
          <w:tcPr>
            <w:tcW w:w="1560" w:type="dxa"/>
            <w:tcBorders>
              <w:bottom w:val="single" w:sz="4" w:space="0" w:shadow="0" w:frame="0"/>
              <w:right w:val="nil"/>
            </w:tcBorders>
            <w:shd w:val="clear" w:color="auto" w:fill="auto"/>
          </w:tcPr>
          <w:p>
            <w:pPr>
              <w:pStyle w:val="P27"/>
              <w:spacing w:before="0" w:after="0" w:beforeAutospacing="0" w:afterAutospacing="0"/>
              <w:ind w:hanging="28" w:left="-57" w:right="-113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Відсоток</w:t>
            </w:r>
          </w:p>
        </w:tc>
        <w:tc>
          <w:tcPr>
            <w:tcW w:w="284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left="-57" w:right="-57"/>
              <w:jc w:val="center"/>
              <w:rPr>
                <w:color w:val="FFFFFF"/>
                <w:sz w:val="8"/>
                <w:szCs w:val="8"/>
                <w:lang w:val="ru-RU"/>
              </w:rPr>
            </w:pPr>
            <w:r>
              <w:rPr>
                <w:color w:val="FFFFFF"/>
                <w:sz w:val="8"/>
                <w:szCs w:val="8"/>
                <w:lang w:val="ru-RU"/>
              </w:rPr>
              <w:t>@</w:t>
            </w:r>
            <w:r>
              <w:rPr>
                <w:color w:val="FFFFFF"/>
                <w:sz w:val="8"/>
                <w:szCs w:val="8"/>
              </w:rPr>
              <w:t>8</w:t>
            </w:r>
            <w:r>
              <w:rPr>
                <w:color w:val="FFFFFF"/>
                <w:sz w:val="8"/>
                <w:szCs w:val="8"/>
                <w:lang w:val="ru-RU"/>
              </w:rPr>
              <w:t>@</w:t>
            </w:r>
          </w:p>
        </w:tc>
        <w:tc>
          <w:tcPr>
            <w:tcW w:w="8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5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27,86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6,37</w:t>
            </w: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65,77</w:t>
            </w:r>
          </w:p>
        </w:tc>
        <w:tc>
          <w:tcPr>
            <w:tcW w:w="70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/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/>
    <w:p>
      <w:pPr>
        <w:pStyle w:val="P27"/>
        <w:spacing w:before="0" w:after="0" w:beforeAutospacing="0" w:afterAutospacing="0"/>
        <w:ind w:hanging="30" w:left="-161"/>
        <w:jc w:val="center"/>
        <w:rPr>
          <w:b w:val="1"/>
          <w:bCs w:val="1"/>
          <w:lang w:val="uk-UA"/>
        </w:rPr>
      </w:pPr>
    </w:p>
    <w:p>
      <w:pPr>
        <w:pStyle w:val="P27"/>
        <w:spacing w:before="0" w:after="0" w:beforeAutospacing="0" w:afterAutospacing="0"/>
        <w:ind w:hanging="30" w:left="-161"/>
        <w:jc w:val="center"/>
        <w:rPr>
          <w:b w:val="1"/>
          <w:bCs w:val="1"/>
          <w:lang w:val="uk-UA"/>
        </w:rPr>
      </w:pPr>
    </w:p>
    <w:p>
      <w:pPr>
        <w:pStyle w:val="P27"/>
        <w:spacing w:before="0" w:after="0" w:beforeAutospacing="0" w:afterAutospacing="0"/>
        <w:ind w:hanging="30" w:left="-161"/>
        <w:jc w:val="center"/>
        <w:rPr>
          <w:b w:val="1"/>
          <w:bCs w:val="1"/>
          <w:lang w:val="uk-UA"/>
        </w:rPr>
      </w:pPr>
      <w:r>
        <w:rPr>
          <w:b w:val="1"/>
          <w:bCs w:val="1"/>
          <w:lang w:val="uk-UA"/>
        </w:rPr>
        <w:t>VII. Капітальне будівництво (рядок 4010 таблиці ІV)</w:t>
      </w:r>
    </w:p>
    <w:p>
      <w:pPr>
        <w:pStyle w:val="P27"/>
        <w:spacing w:before="0" w:after="0" w:beforeAutospacing="0" w:afterAutospacing="0"/>
        <w:ind w:hanging="30" w:left="-161"/>
        <w:jc w:val="center"/>
        <w:rPr>
          <w:lang w:val="uk-UA"/>
        </w:rPr>
      </w:pPr>
    </w:p>
    <w:p/>
    <w:tbl>
      <w:tblPr>
        <w:tblW w:w="16121" w:type="dxa"/>
        <w:tblInd w:w="-35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000"/>
      </w:tblPr>
      <w:tblGrid/>
      <w:tr>
        <w:trPr>
          <w:trHeight w:hRule="atLeast" w:val="409"/>
        </w:trPr>
        <w:tc>
          <w:tcPr>
            <w:tcW w:w="565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Найменування об'єкта </w:t>
            </w:r>
          </w:p>
        </w:tc>
        <w:tc>
          <w:tcPr>
            <w:tcW w:w="1280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Рік початку і закінчення будівництва</w:t>
            </w:r>
          </w:p>
        </w:tc>
        <w:tc>
          <w:tcPr>
            <w:tcW w:w="1272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кошторисна вартість</w:t>
            </w:r>
          </w:p>
        </w:tc>
        <w:tc>
          <w:tcPr>
            <w:tcW w:w="1178" w:type="dxa"/>
            <w:vMerge w:val="restart"/>
            <w:shd w:val="clear" w:color="auto" w:fill="auto"/>
          </w:tcPr>
          <w:p>
            <w:pPr>
              <w:pStyle w:val="P27"/>
              <w:ind w:firstLine="62" w:left="-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20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Незавершене будівництво на початок планового року</w:t>
            </w:r>
          </w:p>
        </w:tc>
        <w:tc>
          <w:tcPr>
            <w:tcW w:w="5899" w:type="dxa"/>
            <w:gridSpan w:val="5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Звітний період (рік)</w:t>
            </w:r>
          </w:p>
        </w:tc>
        <w:tc>
          <w:tcPr>
            <w:tcW w:w="1493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проєктно-кошторисної документації (стан розроблення, затвердження, у разі затвердження зазначити суб'єкт управління, яким затверджено, та відповідний документ)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Документ, яким затверджений титул будови,</w:t>
              <w:br w:type="textWrapping"/>
              <w:t>із зазначенням суб'єкта управління, який його погодив</w:t>
            </w:r>
          </w:p>
        </w:tc>
      </w:tr>
      <w:tr>
        <w:tc>
          <w:tcPr>
            <w:tcW w:w="56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освоєння капітальних вкладень</w:t>
            </w:r>
          </w:p>
        </w:tc>
        <w:tc>
          <w:tcPr>
            <w:tcW w:w="1409" w:type="dxa"/>
            <w:vMerge w:val="restart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3211" w:type="dxa"/>
            <w:gridSpan w:val="3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тому числі </w:t>
            </w:r>
          </w:p>
        </w:tc>
        <w:tc>
          <w:tcPr>
            <w:tcW w:w="1493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hRule="atLeast" w:val="2797"/>
        </w:trPr>
        <w:tc>
          <w:tcPr>
            <w:tcW w:w="565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власні кошти</w:t>
            </w:r>
          </w:p>
        </w:tc>
        <w:tc>
          <w:tcPr>
            <w:tcW w:w="107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кредитні кошти</w:t>
            </w:r>
          </w:p>
        </w:tc>
        <w:tc>
          <w:tcPr>
            <w:tcW w:w="115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 (зазначити джерело)</w:t>
            </w:r>
          </w:p>
        </w:tc>
        <w:tc>
          <w:tcPr>
            <w:tcW w:w="1493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65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2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9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09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7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07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493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</w:tr>
      <w:tr>
        <w:tc>
          <w:tcPr>
            <w:tcW w:w="2303" w:type="dxa"/>
            <w:gridSpan w:val="2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b w:val="1"/>
                <w:bCs w:val="1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280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78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20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79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09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77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157" w:type="dxa"/>
            <w:tcBorders>
              <w:bottom w:val="single" w:sz="4" w:space="0" w:shadow="0" w:frame="0"/>
            </w:tcBorders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93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pStyle w:val="P27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>
      <w:pPr>
        <w:pStyle w:val="P27"/>
        <w:spacing w:before="0" w:after="0" w:beforeAutospacing="0" w:afterAutospacing="0"/>
        <w:jc w:val="center"/>
        <w:rPr>
          <w:sz w:val="10"/>
          <w:szCs w:val="10"/>
          <w:lang w:val="uk-UA"/>
        </w:rPr>
      </w:pPr>
    </w:p>
    <w:p>
      <w:pPr>
        <w:pStyle w:val="P27"/>
        <w:spacing w:before="0" w:after="0" w:beforeAutospacing="0" w:afterAutospacing="0"/>
        <w:jc w:val="center"/>
        <w:rPr>
          <w:sz w:val="10"/>
          <w:szCs w:val="10"/>
          <w:lang w:val="uk-UA"/>
        </w:rPr>
      </w:pPr>
    </w:p>
    <w:p>
      <w:pPr>
        <w:pStyle w:val="P27"/>
        <w:spacing w:before="0" w:after="0" w:beforeAutospacing="0" w:afterAutospacing="0"/>
        <w:jc w:val="center"/>
        <w:rPr>
          <w:sz w:val="10"/>
          <w:szCs w:val="10"/>
          <w:lang w:val="uk-UA"/>
        </w:rPr>
      </w:pPr>
    </w:p>
    <w:p/>
    <w:tbl>
      <w:tblPr>
        <w:tblpPr w:leftFromText="180" w:rightFromText="180" w:tblpX="1" w:tblpY="-34" w:horzAnchor="page" w:vertAnchor="text" w:tblpXSpec="center"/>
        <w:tblOverlap w:val="never"/>
        <w:tblW w:w="0" w:type="auto"/>
        <w:tblLook w:val="04A0"/>
      </w:tblPr>
      <w:tblGrid/>
      <w:tr>
        <w:trPr>
          <w:trHeight w:hRule="atLeast" w:val="284"/>
        </w:trPr>
        <w:tc>
          <w:tcPr>
            <w:tcW w:w="1101" w:type="dxa"/>
            <w:vAlign w:val="bottom"/>
            <w:hideMark/>
          </w:tcPr>
          <w:p>
            <w:pPr>
              <w:spacing w:before="120" w:after="120" w:beforeAutospacing="0" w:afterAutospacing="0"/>
              <w:rPr>
                <w:b w:val="1"/>
                <w:sz w:val="20"/>
                <w:szCs w:val="20"/>
              </w:rPr>
            </w:pPr>
            <w:r>
              <w:rPr>
                <w:b w:val="1"/>
                <w:sz w:val="20"/>
                <w:szCs w:val="20"/>
              </w:rPr>
              <w:t>Керівник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vAlign w:val="bottom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shadow="0" w:frame="0"/>
              <w:right w:val="nil"/>
            </w:tcBorders>
            <w:vAlign w:val="bottom"/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shadow="0" w:frame="0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c>
          <w:tcPr>
            <w:tcW w:w="1101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283" w:type="dxa"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shadow="0" w:frame="0"/>
              <w:left w:val="nil"/>
              <w:bottom w:val="nil"/>
              <w:right w:val="nil"/>
            </w:tcBorders>
            <w:hideMark/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shadow="0" w:frame="0"/>
              <w:left w:val="nil"/>
              <w:bottom w:val="nil"/>
              <w:right w:val="nil"/>
            </w:tcBorders>
          </w:tcPr>
          <w:p>
            <w:pPr>
              <w:spacing w:before="120" w:after="120"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/>
    <w:p>
      <w:r>
        <w:t>Документ підписано Керівник: ПІБ: ЦАРУЛЬКОВ ЮРІЙ АНАТОЛІЙОВИЧ</w:t>
      </w:r>
    </w:p>
    <w:p>
      <w:r>
        <w:t>ІПН/РНОКПП: 2976603113</w:t>
      </w:r>
    </w:p>
    <w:p>
      <w:r>
        <w:t>Email: Не знайдено</w:t>
      </w:r>
    </w:p>
    <w:p>
      <w:r>
        <w:t>Місто: КИЇВ</w:t>
      </w:r>
    </w:p>
    <w:p>
      <w:r>
        <w:t>Організація: КП КНП КЛ №15</w:t>
      </w:r>
    </w:p>
    <w:p>
      <w:r>
        <w:t>Видавець: КНЕДП АЦСК АТ КБ "ПРИВАТБАНК"</w:t>
      </w:r>
    </w:p>
    <w:p>
      <w:r>
        <w:t>Серійний номер: 5E984D526F82F38F04000000E17B510106E70706</w:t>
      </w:r>
    </w:p>
    <w:p>
      <w:r>
        <w:t>Дійсний з: 24.02.2025</w:t>
      </w:r>
    </w:p>
    <w:p>
      <w:r>
        <w:t>Дійсний до: 24.02.2026</w:t>
      </w:r>
    </w:p>
    <w:p>
      <w:r>
        <w:t>Статус: Сертифікат дійсний</w:t>
      </w:r>
    </w:p>
    <w:p>
      <w:r>
        <w:t>Головний бухгалтер: ПІБ: ПУСТОВІТ ОЛЕНА АНАТОЛІЇВНА</w:t>
      </w:r>
    </w:p>
    <w:p>
      <w:r>
        <w:t>ІПН/РНОКПП: 2722904723</w:t>
      </w:r>
    </w:p>
    <w:p>
      <w:r>
        <w:t>Email: Не знайдено</w:t>
      </w:r>
    </w:p>
    <w:p>
      <w:r>
        <w:t>Місто: КИЇВ</w:t>
      </w:r>
    </w:p>
    <w:p>
      <w:r>
        <w:t>Організація: КП КНП КЛ №15</w:t>
      </w:r>
    </w:p>
    <w:p>
      <w:r>
        <w:t>Видавець: КНЕДП АЦСК АТ КБ "ПРИВАТБАНК"</w:t>
      </w:r>
    </w:p>
    <w:p>
      <w:r>
        <w:t>Серійний номер: 5E984D526F82F38F04000000EAE0DC0159F9E506</w:t>
      </w:r>
    </w:p>
    <w:p>
      <w:r>
        <w:t>Дійсний з: 17.11.2025</w:t>
      </w:r>
    </w:p>
    <w:p>
      <w:r>
        <w:t>Дійсний до: 17.11.2026</w:t>
      </w:r>
    </w:p>
    <w:p>
      <w:r>
        <w:t>Статус: Сертифікат дійсний</w:t>
      </w:r>
    </w:p>
    <w:p>
      <w:r>
        <w:t>Печатка організації: ПІБ: КНП "КЛ №15"</w:t>
      </w:r>
    </w:p>
    <w:p>
      <w:r>
        <w:t>ІПН/РНОКПП: Не знайдено</w:t>
      </w:r>
    </w:p>
    <w:p>
      <w:r>
        <w:t>Email: mar1986@ukr.net</w:t>
      </w:r>
    </w:p>
    <w:p>
      <w:r>
        <w:t>Місто: місто Київ</w:t>
      </w:r>
    </w:p>
    <w:p>
      <w:r>
        <w:t>Організація: КНП "КЛ №15"</w:t>
      </w:r>
    </w:p>
    <w:p>
      <w:r>
        <w:t>Видавець: КНЕДП ТОВ "Центр сертифікації ключів "Україна"</w:t>
      </w:r>
    </w:p>
    <w:p>
      <w:r>
        <w:t>Серійний номер: 157B310800000000000000000000000000000001</w:t>
      </w:r>
    </w:p>
    <w:p>
      <w:r>
        <w:t>Дійсний з: 05.11.2025</w:t>
      </w:r>
    </w:p>
    <w:p>
      <w:r>
        <w:t>Дійсний до: 04.11.2027</w:t>
      </w:r>
    </w:p>
    <w:p>
      <w:r>
        <w:t>Статус: Сертифікат дійсний</w:t>
      </w:r>
    </w:p>
    <w:sectPr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851" w:right="851" w:top="567" w:bottom="567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Borders>
        <w:top w:val="none" w:sz="4" w:space="0" w:shadow="0" w:frame="0" w:color="000000"/>
        <w:left w:val="none" w:sz="4" w:space="0" w:shadow="0" w:frame="0" w:color="000000"/>
        <w:bottom w:val="none" w:sz="4" w:space="0" w:shadow="0" w:frame="0" w:color="000000"/>
        <w:right w:val="none" w:sz="4" w:space="0" w:shadow="0" w:frame="0" w:color="000000"/>
      </w:tblBorders>
      <w:tblLook w:val="04A0"/>
    </w:tblPr>
    <w:tblGrid/>
    <w:tr>
      <w:tc>
        <w:tcPr>
          <w:tcW w:w="0" w:type="auto"/>
          <w:tcBorders>
            <w:right w:val="nil"/>
          </w:tcBorders>
          <w:vAlign w:val="center"/>
        </w:tcPr>
        <w:p>
          <w:r>
            <w:drawing>
              <wp:inline xmlns:wp="http://schemas.openxmlformats.org/drawingml/2006/wordprocessingDrawing" distT="0" distB="0" distL="0" distR="0">
                <wp:extent cx="856615" cy="856615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dpi="0">
                        <a:blip xmlns:r="http://schemas.openxmlformats.org/officeDocument/2006/relationships" r:embed="Relimage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85661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</w:tcBorders>
          <w:vAlign w:val="center"/>
        </w:tcPr>
        <w:p>
          <w:pPr>
            <w:rPr>
              <w:b w:val="0"/>
              <w:bCs w:val="0"/>
              <w:color w:val="000000"/>
              <w:sz w:val="16"/>
            </w:rPr>
          </w:pPr>
          <w:r>
            <w:rPr>
              <w:b w:val="0"/>
              <w:bCs w:val="0"/>
              <w:color w:val="000000"/>
              <w:sz w:val="16"/>
            </w:rPr>
            <w:t>Документ підписано Керівник: ПІБ: ЦАРУЛЬКОВ ЮРІЙ АНАТОЛІЙОВИЧ; ІПН/РНОКПП: 2976603113; Email: Не знайдено; Місто: КИЇВ; Організація: КП КНП КЛ №15; Видавець: КНЕДП АЦСК АТ КБ "ПРИВАТБАНК"; Серійний номер: 5E984D526F82F38F04000000E17B510106E70706; Дійсний з: 24.02.2025; Дійсний до: 24.02.2026; Статус: Сертифікат дійсний; Головний бухгалтер: ПІБ: ПУСТОВІТ ОЛЕНА АНАТОЛІЇВНА; ІПН/РНОКПП: 2722904723; Email: Не знайдено; Місто: КИЇВ; Організація: КП КНП КЛ №15; Видавець: КНЕДП АЦСК АТ КБ "ПРИВАТБАНК"; Серійний номер: 5E984D526F82F38F04000000EAE0DC0159F9E506; Дійсний з: 17.11.2025; Дійсний до: 17.11.2026; Статус: Сертифікат дійсний; Печатка організації: ПІБ: КНП "КЛ №15"; ІПН/РНОКПП: Не знайдено; Email: mar1986@ukr.net; Місто: місто Київ; Організація: КНП "КЛ №15"; Видавець: КНЕДП ТОВ "Центр сертифікації ключів "Україна"; Серійний номер: 157B310800000000000000000000000000000001; Дійсний з: 05.11.2025; Дійсний до: 04.11.2027; Статус: Сертифікат дійсний</w:t>
          </w:r>
        </w:p>
        <w:p>
          <w:pPr>
            <w:rPr>
              <w:b w:val="0"/>
              <w:bCs w:val="0"/>
              <w:color w:val="000000"/>
              <w:sz w:val="16"/>
            </w:rPr>
          </w:pPr>
        </w:p>
      </w:tc>
    </w:tr>
  </w:tbl>
  <w:p/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0F30A88"/>
    <w:multiLevelType w:val="hybridMultilevel"/>
    <w:lvl w:ilvl="0" w:tplc="248C8FEC">
      <w:start w:val="5"/>
      <w:numFmt w:val="decimal"/>
      <w:suff w:val="tab"/>
      <w:lvlText w:val="%1."/>
      <w:lvlJc w:val="left"/>
      <w:pPr>
        <w:ind w:hanging="360" w:left="1028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74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46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18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0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2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4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06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788"/>
      </w:pPr>
      <w:rPr/>
    </w:lvl>
  </w:abstractNum>
  <w:abstractNum w:abstractNumId="1">
    <w:nsid w:val="028F59C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2A64D0B"/>
    <w:multiLevelType w:val="hybridMultilevel"/>
    <w:lvl w:ilvl="0" w:tplc="0419000F">
      <w:start w:val="2"/>
      <w:numFmt w:val="decimal"/>
      <w:suff w:val="tab"/>
      <w:lvlText w:val="%1."/>
      <w:lvlJc w:val="left"/>
      <w:pPr>
        <w:ind w:hanging="360" w:left="1440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085A0C54"/>
    <w:multiLevelType w:val="hybridMultilevel"/>
    <w:lvl w:ilvl="0" w:tplc="CCCA126C">
      <w:start w:val="5"/>
      <w:numFmt w:val="decimal"/>
      <w:suff w:val="tab"/>
      <w:lvlText w:val="%1."/>
      <w:lvlJc w:val="left"/>
      <w:pPr>
        <w:ind w:hanging="360" w:left="1377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97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17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537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57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77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97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17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137"/>
      </w:pPr>
      <w:rPr/>
    </w:lvl>
  </w:abstractNum>
  <w:abstractNum w:abstractNumId="4">
    <w:nsid w:val="088F7C7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5">
    <w:nsid w:val="11D84731"/>
    <w:multiLevelType w:val="hybridMultilevel"/>
    <w:lvl w:ilvl="0" w:tplc="0BD401EA">
      <w:start w:val="1"/>
      <w:numFmt w:val="decimal"/>
      <w:suff w:val="tab"/>
      <w:lvlText w:val="%1."/>
      <w:lvlJc w:val="left"/>
      <w:pPr>
        <w:ind w:hanging="360" w:left="810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6">
    <w:nsid w:val="28E044D3"/>
    <w:multiLevelType w:val="hybridMultilevel"/>
    <w:lvl w:ilvl="0" w:tplc="359CFF8A">
      <w:start w:val="3"/>
      <w:numFmt w:val="bullet"/>
      <w:suff w:val="tab"/>
      <w:lvlText w:val="-"/>
      <w:lvlJc w:val="left"/>
      <w:pPr>
        <w:ind w:hanging="360" w:left="405"/>
      </w:pPr>
      <w:rPr>
        <w:rFonts w:ascii="Times New Roman" w:hAnsi="Times New Roman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125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1845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565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285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005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4725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445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165"/>
      </w:pPr>
      <w:rPr>
        <w:rFonts w:ascii="Wingdings" w:hAnsi="Wingdings" w:hint="default"/>
      </w:rPr>
    </w:lvl>
  </w:abstractNum>
  <w:abstractNum w:abstractNumId="7">
    <w:nsid w:val="299565AA"/>
    <w:multiLevelType w:val="multilevel"/>
    <w:lvl w:ilvl="0">
      <w:start w:val="4"/>
      <w:numFmt w:val="decimal"/>
      <w:suff w:val="tab"/>
      <w:lvlText w:val="%1."/>
      <w:lvlJc w:val="left"/>
      <w:pPr>
        <w:ind w:hanging="450" w:left="450"/>
      </w:pPr>
      <w:rPr>
        <w:rFonts w:hint="default"/>
      </w:rPr>
    </w:lvl>
    <w:lvl w:ilvl="1">
      <w:start w:val="1"/>
      <w:numFmt w:val="decimal"/>
      <w:suff w:val="tab"/>
      <w:lvlText w:val="%1.%2."/>
      <w:lvlJc w:val="left"/>
      <w:pPr>
        <w:ind w:hanging="720" w:left="1440"/>
      </w:pPr>
      <w:rPr>
        <w:rFonts w:hint="default"/>
      </w:rPr>
    </w:lvl>
    <w:lvl w:ilvl="2">
      <w:start w:val="1"/>
      <w:numFmt w:val="decimal"/>
      <w:suff w:val="tab"/>
      <w:lvlText w:val="%1.%2.%3."/>
      <w:lvlJc w:val="left"/>
      <w:pPr>
        <w:ind w:hanging="720" w:left="2160"/>
      </w:pPr>
      <w:rPr>
        <w:rFonts w:hint="default"/>
      </w:rPr>
    </w:lvl>
    <w:lvl w:ilvl="3">
      <w:start w:val="1"/>
      <w:numFmt w:val="decimal"/>
      <w:suff w:val="tab"/>
      <w:lvlText w:val="%1.%2.%3.%4."/>
      <w:lvlJc w:val="left"/>
      <w:pPr>
        <w:ind w:hanging="1080" w:left="3240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hanging="1080" w:left="3960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hanging="1440" w:left="5040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hanging="1800" w:left="6120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hanging="1800" w:left="6840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hanging="2160" w:left="7920"/>
      </w:pPr>
      <w:rPr>
        <w:rFonts w:hint="default"/>
      </w:rPr>
    </w:lvl>
  </w:abstractNum>
  <w:abstractNum w:abstractNumId="8">
    <w:nsid w:val="3666154A"/>
    <w:multiLevelType w:val="hybridMultilevel"/>
    <w:lvl w:ilvl="0" w:tplc="D6FACAFA">
      <w:start w:val="6"/>
      <w:numFmt w:val="decimal"/>
      <w:suff w:val="tab"/>
      <w:lvlText w:val="%1."/>
      <w:lvlJc w:val="left"/>
      <w:pPr>
        <w:ind w:hanging="360" w:left="258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97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69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41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13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85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57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29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018"/>
      </w:pPr>
      <w:rPr/>
    </w:lvl>
  </w:abstractNum>
  <w:abstractNum w:abstractNumId="9">
    <w:nsid w:val="37EC164E"/>
    <w:multiLevelType w:val="hybridMultilevel"/>
    <w:lvl w:ilvl="0" w:tplc="06506AB2">
      <w:start w:val="6"/>
      <w:numFmt w:val="decimal"/>
      <w:suff w:val="tab"/>
      <w:lvlText w:val="%1."/>
      <w:lvlJc w:val="left"/>
      <w:pPr>
        <w:ind w:hanging="360" w:left="1028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748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468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188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08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28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48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068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788"/>
      </w:pPr>
      <w:rPr/>
    </w:lvl>
  </w:abstractNum>
  <w:abstractNum w:abstractNumId="10">
    <w:nsid w:val="474275F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AA1378E"/>
    <w:multiLevelType w:val="hybridMultilevel"/>
    <w:lvl w:ilvl="0" w:tplc="2698F0EC">
      <w:start w:val="3"/>
      <w:numFmt w:val="bullet"/>
      <w:suff w:val="tab"/>
      <w:lvlText w:val="-"/>
      <w:lvlJc w:val="left"/>
      <w:pPr>
        <w:ind w:hanging="360" w:left="405"/>
      </w:pPr>
      <w:rPr>
        <w:rFonts w:ascii="Times New Roman" w:hAnsi="Times New Roman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125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1845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565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285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005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4725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445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165"/>
      </w:pPr>
      <w:rPr>
        <w:rFonts w:ascii="Wingdings" w:hAnsi="Wingdings" w:hint="default"/>
      </w:rPr>
    </w:lvl>
  </w:abstractNum>
  <w:abstractNum w:abstractNumId="12">
    <w:nsid w:val="4D586E0D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EE85934"/>
    <w:multiLevelType w:val="hybridMultilevel"/>
    <w:lvl w:ilvl="0" w:tplc="C80C221A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4">
    <w:nsid w:val="59E602B3"/>
    <w:multiLevelType w:val="hybridMultilevel"/>
    <w:lvl w:ilvl="0" w:tplc="8A88F934">
      <w:start w:val="1"/>
      <w:numFmt w:val="bullet"/>
      <w:suff w:val="tab"/>
      <w:lvlText w:val="-"/>
      <w:lvlJc w:val="left"/>
      <w:pPr>
        <w:ind w:hanging="360" w:left="810"/>
      </w:pPr>
      <w:rPr>
        <w:rFonts w:ascii="Times New Roman" w:hAnsi="Times New Roman" w:cs="Times New Roman" w:eastAsia="Times New Roman" w:hint="default"/>
        <w:color w:val="auto"/>
      </w:rPr>
    </w:lvl>
    <w:lvl w:ilvl="1" w:tplc="04190003">
      <w:start w:val="1"/>
      <w:numFmt w:val="bullet"/>
      <w:suff w:val="tab"/>
      <w:lvlText w:val="o"/>
      <w:lvlJc w:val="left"/>
      <w:pPr>
        <w:ind w:hanging="360" w:left="153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25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97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9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41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13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85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570"/>
      </w:pPr>
      <w:rPr>
        <w:rFonts w:ascii="Wingdings" w:hAnsi="Wingdings" w:hint="default"/>
      </w:rPr>
    </w:lvl>
  </w:abstractNum>
  <w:abstractNum w:abstractNumId="15">
    <w:nsid w:val="5A746F10"/>
    <w:multiLevelType w:val="hybridMultilevel"/>
    <w:lvl w:ilvl="0" w:tplc="7C6A5120">
      <w:start w:val="1"/>
      <w:numFmt w:val="decimal"/>
      <w:suff w:val="tab"/>
      <w:lvlText w:val="%1."/>
      <w:lvlJc w:val="left"/>
      <w:pPr>
        <w:ind w:hanging="276" w:left="944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uk-UA" w:bidi="ar-SA" w:eastAsia="en-US"/>
      </w:rPr>
    </w:lvl>
    <w:lvl w:ilvl="1" w:tplc="C6346F62">
      <w:start w:val="1"/>
      <w:numFmt w:val="bullet"/>
      <w:suff w:val="tab"/>
      <w:lvlText w:val="•"/>
      <w:lvlJc w:val="left"/>
      <w:pPr>
        <w:ind w:hanging="276" w:left="1830"/>
      </w:pPr>
      <w:rPr>
        <w:rFonts w:hint="default"/>
        <w:lang w:val="uk-UA" w:bidi="ar-SA" w:eastAsia="en-US"/>
      </w:rPr>
    </w:lvl>
    <w:lvl w:ilvl="2" w:tplc="8F647E16">
      <w:start w:val="1"/>
      <w:numFmt w:val="bullet"/>
      <w:suff w:val="tab"/>
      <w:lvlText w:val="•"/>
      <w:lvlJc w:val="left"/>
      <w:pPr>
        <w:ind w:hanging="276" w:left="2721"/>
      </w:pPr>
      <w:rPr>
        <w:rFonts w:hint="default"/>
        <w:lang w:val="uk-UA" w:bidi="ar-SA" w:eastAsia="en-US"/>
      </w:rPr>
    </w:lvl>
    <w:lvl w:ilvl="3" w:tplc="9C6EC738">
      <w:start w:val="1"/>
      <w:numFmt w:val="bullet"/>
      <w:suff w:val="tab"/>
      <w:lvlText w:val="•"/>
      <w:lvlJc w:val="left"/>
      <w:pPr>
        <w:ind w:hanging="276" w:left="3611"/>
      </w:pPr>
      <w:rPr>
        <w:rFonts w:hint="default"/>
        <w:lang w:val="uk-UA" w:bidi="ar-SA" w:eastAsia="en-US"/>
      </w:rPr>
    </w:lvl>
    <w:lvl w:ilvl="4" w:tplc="32600E90">
      <w:start w:val="1"/>
      <w:numFmt w:val="bullet"/>
      <w:suff w:val="tab"/>
      <w:lvlText w:val="•"/>
      <w:lvlJc w:val="left"/>
      <w:pPr>
        <w:ind w:hanging="276" w:left="4502"/>
      </w:pPr>
      <w:rPr>
        <w:rFonts w:hint="default"/>
        <w:lang w:val="uk-UA" w:bidi="ar-SA" w:eastAsia="en-US"/>
      </w:rPr>
    </w:lvl>
    <w:lvl w:ilvl="5" w:tplc="132CC5AE">
      <w:start w:val="1"/>
      <w:numFmt w:val="bullet"/>
      <w:suff w:val="tab"/>
      <w:lvlText w:val="•"/>
      <w:lvlJc w:val="left"/>
      <w:pPr>
        <w:ind w:hanging="276" w:left="5393"/>
      </w:pPr>
      <w:rPr>
        <w:rFonts w:hint="default"/>
        <w:lang w:val="uk-UA" w:bidi="ar-SA" w:eastAsia="en-US"/>
      </w:rPr>
    </w:lvl>
    <w:lvl w:ilvl="6" w:tplc="19729492">
      <w:start w:val="1"/>
      <w:numFmt w:val="bullet"/>
      <w:suff w:val="tab"/>
      <w:lvlText w:val="•"/>
      <w:lvlJc w:val="left"/>
      <w:pPr>
        <w:ind w:hanging="276" w:left="6283"/>
      </w:pPr>
      <w:rPr>
        <w:rFonts w:hint="default"/>
        <w:lang w:val="uk-UA" w:bidi="ar-SA" w:eastAsia="en-US"/>
      </w:rPr>
    </w:lvl>
    <w:lvl w:ilvl="7" w:tplc="186ADE3C">
      <w:start w:val="1"/>
      <w:numFmt w:val="bullet"/>
      <w:suff w:val="tab"/>
      <w:lvlText w:val="•"/>
      <w:lvlJc w:val="left"/>
      <w:pPr>
        <w:ind w:hanging="276" w:left="7174"/>
      </w:pPr>
      <w:rPr>
        <w:rFonts w:hint="default"/>
        <w:lang w:val="uk-UA" w:bidi="ar-SA" w:eastAsia="en-US"/>
      </w:rPr>
    </w:lvl>
    <w:lvl w:ilvl="8" w:tplc="35F6739C">
      <w:start w:val="1"/>
      <w:numFmt w:val="bullet"/>
      <w:suff w:val="tab"/>
      <w:lvlText w:val="•"/>
      <w:lvlJc w:val="left"/>
      <w:pPr>
        <w:ind w:hanging="276" w:left="8065"/>
      </w:pPr>
      <w:rPr>
        <w:rFonts w:hint="default"/>
        <w:lang w:val="uk-UA" w:bidi="ar-SA" w:eastAsia="en-US"/>
      </w:rPr>
    </w:lvl>
  </w:abstractNum>
  <w:abstractNum w:abstractNumId="16">
    <w:nsid w:val="64F26531"/>
    <w:multiLevelType w:val="hybridMultilevel"/>
    <w:lvl w:ilvl="0" w:tplc="B68485E4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 w:cs="Times New Roman" w:eastAsia="Times New Roman" w:hint="default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7">
    <w:nsid w:val="68815FC5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69702C1F"/>
    <w:multiLevelType w:val="hybridMultilevel"/>
    <w:lvl w:ilvl="0" w:tplc="ED44E6B2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A6021F5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59D63A9"/>
    <w:multiLevelType w:val="hybridMultilevel"/>
    <w:lvl w:ilvl="0" w:tplc="7724FB72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 w:cs="Times New Roman" w:eastAsia="Times New Roman" w:hint="default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3"/>
  </w:num>
  <w:num w:numId="12">
    <w:abstractNumId w:val="14"/>
  </w:num>
  <w:num w:numId="13">
    <w:abstractNumId w:val="5"/>
  </w:num>
  <w:num w:numId="14">
    <w:abstractNumId w:val="19"/>
  </w:num>
  <w:num w:numId="15">
    <w:abstractNumId w:val="20"/>
  </w:num>
  <w:num w:numId="16">
    <w:abstractNumId w:val="16"/>
  </w:num>
  <w:num w:numId="17">
    <w:abstractNumId w:val="6"/>
  </w:num>
  <w:num w:numId="18">
    <w:abstractNumId w:val="11"/>
  </w:num>
  <w:num w:numId="19">
    <w:abstractNumId w:val="12"/>
  </w:num>
  <w:num w:numId="20">
    <w:abstractNumId w:val="17"/>
  </w:num>
  <w:num w:numId="21">
    <w:abstractNumId w:val="1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="Calibri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 New Roman" w:hAnsi="Times New Roman" w:eastAsia="Times New Roman"/>
      <w:sz w:val="22"/>
      <w:szCs w:val="22"/>
      <w:lang w:eastAsia="en-US"/>
    </w:rPr>
  </w:style>
  <w:style w:type="paragraph" w:styleId="P1">
    <w:name w:val="Heading 2"/>
    <w:basedOn w:val="P0"/>
    <w:link w:val="C3"/>
    <w:qFormat/>
    <w:pPr>
      <w:widowControl w:val="1"/>
      <w:spacing w:before="100" w:after="100" w:beforeAutospacing="1" w:afterAutospacing="1"/>
      <w:outlineLvl w:val="1"/>
    </w:pPr>
    <w:rPr>
      <w:b w:val="1"/>
      <w:bCs w:val="1"/>
      <w:sz w:val="36"/>
      <w:szCs w:val="36"/>
      <w:lang w:val="ru-RU" w:eastAsia="ru-RU"/>
    </w:rPr>
  </w:style>
  <w:style w:type="paragraph" w:styleId="P2">
    <w:name w:val="Heading 3"/>
    <w:basedOn w:val="P0"/>
    <w:link w:val="C4"/>
    <w:qFormat/>
    <w:pPr>
      <w:widowControl w:val="1"/>
      <w:spacing w:before="100" w:after="100" w:beforeAutospacing="1" w:afterAutospacing="1"/>
      <w:outlineLvl w:val="2"/>
    </w:pPr>
    <w:rPr>
      <w:b w:val="1"/>
      <w:bCs w:val="1"/>
      <w:sz w:val="27"/>
      <w:szCs w:val="27"/>
      <w:lang w:val="ru-RU" w:eastAsia="ru-RU"/>
    </w:rPr>
  </w:style>
  <w:style w:type="paragraph" w:styleId="P3">
    <w:name w:val="Body Text"/>
    <w:basedOn w:val="P0"/>
    <w:link w:val="C5"/>
    <w:qFormat/>
    <w:pPr/>
    <w:rPr>
      <w:sz w:val="28"/>
      <w:szCs w:val="28"/>
    </w:rPr>
  </w:style>
  <w:style w:type="paragraph" w:styleId="P4">
    <w:name w:val="List Paragraph"/>
    <w:basedOn w:val="P0"/>
    <w:qFormat/>
    <w:pPr>
      <w:ind w:hanging="277" w:left="102"/>
      <w:jc w:val="both"/>
    </w:pPr>
    <w:rPr/>
  </w:style>
  <w:style w:type="paragraph" w:styleId="P5">
    <w:name w:val="Table Paragraph"/>
    <w:basedOn w:val="P0"/>
    <w:qFormat/>
    <w:pPr/>
    <w:rPr/>
  </w:style>
  <w:style w:type="paragraph" w:styleId="P6">
    <w:name w:val="Balloon Text"/>
    <w:basedOn w:val="P0"/>
    <w:link w:val="C6"/>
    <w:pPr/>
    <w:rPr>
      <w:rFonts w:ascii="Segoe UI" w:hAnsi="Segoe UI" w:cs="Segoe UI"/>
      <w:sz w:val="18"/>
      <w:szCs w:val="18"/>
    </w:rPr>
  </w:style>
  <w:style w:type="paragraph" w:styleId="P7">
    <w:name w:val="annotation text"/>
    <w:basedOn w:val="P0"/>
    <w:link w:val="C7"/>
    <w:semiHidden/>
    <w:pPr/>
    <w:rPr>
      <w:sz w:val="20"/>
      <w:szCs w:val="20"/>
    </w:rPr>
  </w:style>
  <w:style w:type="paragraph" w:styleId="P8">
    <w:name w:val="annotation subject"/>
    <w:basedOn w:val="P7"/>
    <w:next w:val="P7"/>
    <w:link w:val="C8"/>
    <w:semiHidden/>
    <w:pPr/>
    <w:rPr>
      <w:b w:val="1"/>
      <w:bCs w:val="1"/>
    </w:rPr>
  </w:style>
  <w:style w:type="paragraph" w:styleId="P9">
    <w:name w:val="main_text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355069"/>
      <w:sz w:val="20"/>
      <w:szCs w:val="20"/>
      <w:lang w:val="ru-RU" w:eastAsia="ru-RU"/>
    </w:rPr>
  </w:style>
  <w:style w:type="paragraph" w:styleId="P10">
    <w:name w:val="p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355069"/>
      <w:sz w:val="20"/>
      <w:szCs w:val="20"/>
      <w:lang w:val="ru-RU" w:eastAsia="ru-RU"/>
    </w:rPr>
  </w:style>
  <w:style w:type="paragraph" w:styleId="P11">
    <w:name w:val="main_text_small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355069"/>
      <w:sz w:val="18"/>
      <w:szCs w:val="18"/>
      <w:lang w:val="ru-RU" w:eastAsia="ru-RU"/>
    </w:rPr>
  </w:style>
  <w:style w:type="paragraph" w:styleId="P12">
    <w:name w:val="note_text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91282D"/>
      <w:sz w:val="20"/>
      <w:szCs w:val="20"/>
      <w:lang w:val="ru-RU" w:eastAsia="ru-RU"/>
    </w:rPr>
  </w:style>
  <w:style w:type="paragraph" w:styleId="P13">
    <w:name w:val="note_text2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91282D"/>
      <w:sz w:val="26"/>
      <w:szCs w:val="26"/>
      <w:lang w:val="ru-RU" w:eastAsia="ru-RU"/>
    </w:rPr>
  </w:style>
  <w:style w:type="paragraph" w:styleId="P14">
    <w:name w:val="note_text_small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91282D"/>
      <w:sz w:val="18"/>
      <w:szCs w:val="18"/>
      <w:lang w:val="ru-RU" w:eastAsia="ru-RU"/>
    </w:rPr>
  </w:style>
  <w:style w:type="paragraph" w:styleId="P15">
    <w:name w:val="p_big"/>
    <w:basedOn w:val="P0"/>
    <w:pPr>
      <w:widowControl w:val="1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16">
    <w:name w:val="menu_item"/>
    <w:basedOn w:val="P0"/>
    <w:pPr>
      <w:widowControl w:val="1"/>
      <w:spacing w:before="105" w:after="105" w:beforeAutospacing="0" w:afterAutospacing="0"/>
      <w:ind w:left="300" w:right="105"/>
    </w:pPr>
    <w:rPr>
      <w:rFonts w:ascii="Arial" w:hAnsi="Arial" w:cs="Arial"/>
      <w:b w:val="1"/>
      <w:bCs w:val="1"/>
      <w:color w:val="355069"/>
      <w:sz w:val="24"/>
      <w:szCs w:val="24"/>
      <w:lang w:val="ru-RU" w:eastAsia="ru-RU"/>
    </w:rPr>
  </w:style>
  <w:style w:type="paragraph" w:styleId="P17">
    <w:name w:val="submenu_item"/>
    <w:basedOn w:val="P0"/>
    <w:pPr>
      <w:widowControl w:val="1"/>
      <w:spacing w:before="100" w:after="100" w:beforeAutospacing="1" w:afterAutospacing="1"/>
    </w:pPr>
    <w:rPr>
      <w:rFonts w:ascii="Arial" w:hAnsi="Arial" w:cs="Arial"/>
      <w:color w:val="355069"/>
      <w:sz w:val="20"/>
      <w:szCs w:val="20"/>
      <w:lang w:val="ru-RU" w:eastAsia="ru-RU"/>
    </w:rPr>
  </w:style>
  <w:style w:type="paragraph" w:styleId="P18">
    <w:name w:val="submenu_left"/>
    <w:basedOn w:val="P0"/>
    <w:pPr>
      <w:widowControl w:val="1"/>
      <w:shd w:val="clear" w:fill="99A39E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19">
    <w:name w:val="submenu_right"/>
    <w:basedOn w:val="P0"/>
    <w:pPr>
      <w:widowControl w:val="1"/>
      <w:shd w:val="clear" w:fill="FDF6D3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0">
    <w:name w:val="info_card_infoblocks_bg"/>
    <w:basedOn w:val="P0"/>
    <w:pPr>
      <w:widowControl w:val="1"/>
      <w:shd w:val="clear" w:fill="99A4A0"/>
      <w:spacing w:before="75" w:after="75" w:beforeAutospacing="0" w:afterAutospacing="0"/>
      <w:ind w:left="75" w:right="75"/>
    </w:pPr>
    <w:rPr>
      <w:sz w:val="24"/>
      <w:szCs w:val="24"/>
      <w:lang w:val="ru-RU" w:eastAsia="ru-RU"/>
    </w:rPr>
  </w:style>
  <w:style w:type="paragraph" w:styleId="P21">
    <w:name w:val="infoblock_bg"/>
    <w:basedOn w:val="P0"/>
    <w:pPr>
      <w:widowControl w:val="1"/>
      <w:shd w:val="clear" w:fill="DFDECE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2">
    <w:name w:val="info_card_searchblock"/>
    <w:basedOn w:val="P0"/>
    <w:pPr>
      <w:widowControl w:val="1"/>
      <w:shd w:val="clear" w:fill="DFDECE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3">
    <w:name w:val="alert_block"/>
    <w:basedOn w:val="P0"/>
    <w:pPr>
      <w:widowControl w:val="1"/>
      <w:pBdr>
        <w:top w:val="single" w:sz="6" w:space="5" w:shadow="0" w:frame="0" w:color="DCD9C4"/>
        <w:left w:val="single" w:sz="6" w:space="5" w:shadow="0" w:frame="0" w:color="DCD9C4"/>
        <w:bottom w:val="single" w:sz="6" w:space="5" w:shadow="0" w:frame="0" w:color="DCD9C4"/>
        <w:right w:val="single" w:sz="6" w:space="5" w:shadow="0" w:frame="0" w:color="DCD9C4"/>
        <w:between w:val="none" w:sz="0" w:space="0" w:shadow="0" w:frame="0" w:color="auto"/>
      </w:pBdr>
      <w:shd w:val="clear" w:fill="FEFAEA"/>
      <w:spacing w:before="45" w:after="45" w:beforeAutospacing="0" w:afterAutospacing="0"/>
      <w:ind w:left="45" w:right="45"/>
    </w:pPr>
    <w:rPr>
      <w:sz w:val="24"/>
      <w:szCs w:val="24"/>
      <w:lang w:val="ru-RU" w:eastAsia="ru-RU"/>
    </w:rPr>
  </w:style>
  <w:style w:type="paragraph" w:styleId="P24">
    <w:name w:val="docinfo_block"/>
    <w:basedOn w:val="P0"/>
    <w:pPr>
      <w:widowControl w:val="1"/>
      <w:pBdr>
        <w:top w:val="single" w:sz="6" w:space="5" w:shadow="0" w:frame="0" w:color="DCD9C4"/>
        <w:left w:val="single" w:sz="6" w:space="5" w:shadow="0" w:frame="0" w:color="DCD9C4"/>
        <w:bottom w:val="single" w:sz="6" w:space="5" w:shadow="0" w:frame="0" w:color="DCD9C4"/>
        <w:right w:val="single" w:sz="6" w:space="5" w:shadow="0" w:frame="0" w:color="DCD9C4"/>
        <w:between w:val="none" w:sz="0" w:space="0" w:shadow="0" w:frame="0" w:color="auto"/>
      </w:pBdr>
      <w:shd w:val="clear" w:fill="FEFAEA"/>
      <w:spacing w:before="45" w:after="45" w:beforeAutospacing="0" w:afterAutospacing="0"/>
      <w:ind w:left="45" w:right="45"/>
    </w:pPr>
    <w:rPr>
      <w:sz w:val="24"/>
      <w:szCs w:val="24"/>
      <w:lang w:val="ru-RU" w:eastAsia="ru-RU"/>
    </w:rPr>
  </w:style>
  <w:style w:type="paragraph" w:styleId="P25">
    <w:name w:val="search_results"/>
    <w:basedOn w:val="P0"/>
    <w:pPr>
      <w:widowControl w:val="1"/>
      <w:pBdr>
        <w:top w:val="single" w:sz="12" w:space="15" w:shadow="0" w:frame="0" w:color="CBC7B3"/>
        <w:left w:val="none" w:sz="0" w:space="0" w:shadow="0" w:frame="0" w:color="auto"/>
        <w:bottom w:val="single" w:sz="12" w:space="15" w:shadow="0" w:frame="0" w:color="CBC7B3"/>
        <w:right w:val="none" w:sz="0" w:space="0" w:shadow="0" w:frame="0" w:color="auto"/>
        <w:between w:val="none" w:sz="0" w:space="0" w:shadow="0" w:frame="0" w:color="auto"/>
      </w:pBdr>
      <w:shd w:val="clear" w:fill="FEFAEA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6">
    <w:name w:val="podval"/>
    <w:basedOn w:val="P0"/>
    <w:pPr>
      <w:widowControl w:val="1"/>
      <w:pBdr>
        <w:top w:val="single" w:sz="12" w:space="15" w:shadow="0" w:frame="0" w:color="CBC7B3"/>
        <w:left w:val="none" w:sz="0" w:space="0" w:shadow="0" w:frame="0" w:color="auto"/>
        <w:bottom w:val="single" w:sz="12" w:space="15" w:shadow="0" w:frame="0" w:color="CBC7B3"/>
        <w:right w:val="none" w:sz="0" w:space="0" w:shadow="0" w:frame="0" w:color="auto"/>
        <w:between w:val="none" w:sz="0" w:space="0" w:shadow="0" w:frame="0" w:color="auto"/>
      </w:pBdr>
      <w:shd w:val="clear" w:fill="DCD9C4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7">
    <w:name w:val="Normal (Web)"/>
    <w:basedOn w:val="P0"/>
    <w:pPr>
      <w:widowControl w:val="1"/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8">
    <w:name w:val="Header"/>
    <w:basedOn w:val="P0"/>
    <w:link w:val="C13"/>
    <w:pPr>
      <w:widowControl w:val="1"/>
      <w:tabs>
        <w:tab w:val="center" w:pos="4819" w:leader="none"/>
        <w:tab w:val="right" w:pos="9639" w:leader="none"/>
      </w:tabs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29">
    <w:name w:val="Footer"/>
    <w:basedOn w:val="P0"/>
    <w:link w:val="C14"/>
    <w:pPr>
      <w:widowControl w:val="1"/>
      <w:tabs>
        <w:tab w:val="center" w:pos="4819" w:leader="none"/>
        <w:tab w:val="right" w:pos="9639" w:leader="none"/>
      </w:tabs>
      <w:spacing w:before="100" w:after="100" w:beforeAutospacing="1" w:afterAutospacing="1"/>
    </w:pPr>
    <w:rPr>
      <w:sz w:val="24"/>
      <w:szCs w:val="24"/>
      <w:lang w:val="ru-RU" w:eastAsia="ru-RU"/>
    </w:rPr>
  </w:style>
  <w:style w:type="paragraph" w:styleId="P30">
    <w:name w:val="footnote text"/>
    <w:link w:val="C16"/>
    <w:semiHidden/>
    <w:pPr>
      <w:spacing w:lineRule="auto" w:line="240" w:after="0"/>
    </w:pPr>
    <w:rPr>
      <w:sz w:val="20"/>
      <w:szCs w:val="20"/>
    </w:rPr>
  </w:style>
  <w:style w:type="paragraph" w:styleId="P31">
    <w:name w:val="endnote text"/>
    <w:link w:val="C18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940112"/>
      <w:u w:val="none"/>
    </w:rPr>
  </w:style>
  <w:style w:type="character" w:styleId="C3">
    <w:name w:val="Заголовок 2 Знак"/>
    <w:link w:val="P1"/>
    <w:rPr>
      <w:rFonts w:ascii="Times New Roman" w:hAnsi="Times New Roman" w:cs="Times New Roman" w:eastAsia="Times New Roman"/>
      <w:b w:val="1"/>
      <w:bCs w:val="1"/>
      <w:sz w:val="36"/>
      <w:szCs w:val="36"/>
      <w:lang w:val="ru-RU" w:eastAsia="ru-RU"/>
    </w:rPr>
  </w:style>
  <w:style w:type="character" w:styleId="C4">
    <w:name w:val="Заголовок 3 Знак"/>
    <w:link w:val="P2"/>
    <w:rPr>
      <w:rFonts w:ascii="Times New Roman" w:hAnsi="Times New Roman" w:cs="Times New Roman" w:eastAsia="Times New Roman"/>
      <w:b w:val="1"/>
      <w:bCs w:val="1"/>
      <w:sz w:val="27"/>
      <w:szCs w:val="27"/>
      <w:lang w:val="ru-RU" w:eastAsia="ru-RU"/>
    </w:rPr>
  </w:style>
  <w:style w:type="character" w:styleId="C5">
    <w:name w:val="Основной текст Знак"/>
    <w:link w:val="P3"/>
    <w:rPr>
      <w:rFonts w:ascii="Times New Roman" w:hAnsi="Times New Roman" w:cs="Times New Roman" w:eastAsia="Times New Roman"/>
      <w:sz w:val="28"/>
      <w:szCs w:val="28"/>
    </w:rPr>
  </w:style>
  <w:style w:type="character" w:styleId="C6">
    <w:name w:val="Текст выноски Знак"/>
    <w:link w:val="P6"/>
    <w:rPr>
      <w:rFonts w:ascii="Segoe UI" w:hAnsi="Segoe UI" w:cs="Segoe UI" w:eastAsia="Times New Roman"/>
      <w:sz w:val="18"/>
      <w:szCs w:val="18"/>
    </w:rPr>
  </w:style>
  <w:style w:type="character" w:styleId="C7">
    <w:name w:val="Текст примечания Знак"/>
    <w:link w:val="P7"/>
    <w:semiHidden/>
    <w:rPr>
      <w:rFonts w:ascii="Times New Roman" w:hAnsi="Times New Roman" w:cs="Times New Roman" w:eastAsia="Times New Roman"/>
      <w:sz w:val="20"/>
      <w:szCs w:val="20"/>
    </w:rPr>
  </w:style>
  <w:style w:type="character" w:styleId="C8">
    <w:name w:val="Тема примечания Знак"/>
    <w:link w:val="P8"/>
    <w:semiHidden/>
    <w:rPr>
      <w:rFonts w:ascii="Times New Roman" w:hAnsi="Times New Roman" w:cs="Times New Roman" w:eastAsia="Times New Roman"/>
      <w:b w:val="1"/>
      <w:bCs w:val="1"/>
      <w:sz w:val="20"/>
      <w:szCs w:val="20"/>
    </w:rPr>
  </w:style>
  <w:style w:type="character" w:styleId="C9">
    <w:name w:val="FollowedHyperlink"/>
    <w:rPr>
      <w:color w:val="940112"/>
      <w:u w:val="none"/>
    </w:rPr>
  </w:style>
  <w:style w:type="character" w:styleId="C10">
    <w:name w:val="st121"/>
    <w:rPr>
      <w:i w:val="1"/>
      <w:iCs w:val="1"/>
      <w:color w:val="000000"/>
    </w:rPr>
  </w:style>
  <w:style w:type="character" w:styleId="C11">
    <w:name w:val="st131"/>
    <w:rPr>
      <w:i w:val="1"/>
      <w:iCs w:val="1"/>
      <w:color w:val="0000FF"/>
    </w:rPr>
  </w:style>
  <w:style w:type="character" w:styleId="C12">
    <w:name w:val="st46"/>
    <w:rPr>
      <w:i w:val="1"/>
      <w:iCs w:val="1"/>
      <w:color w:val="000000"/>
    </w:rPr>
  </w:style>
  <w:style w:type="character" w:styleId="C13">
    <w:name w:val="Верхний колонтитул Знак"/>
    <w:link w:val="P28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character" w:styleId="C14">
    <w:name w:val="Нижний колонтитул Знак"/>
    <w:link w:val="P2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character" w:styleId="C15">
    <w:name w:val="footnote reference"/>
    <w:semiHidden/>
    <w:rPr>
      <w:vertAlign w:val="superscript"/>
    </w:rPr>
  </w:style>
  <w:style w:type="character" w:styleId="C16">
    <w:name w:val="Footnote Text Char"/>
    <w:link w:val="P30"/>
    <w:semiHidden/>
    <w:rPr>
      <w:sz w:val="20"/>
      <w:szCs w:val="20"/>
    </w:rPr>
  </w:style>
  <w:style w:type="character" w:styleId="C17">
    <w:name w:val="endnote reference"/>
    <w:semiHidden/>
    <w:rPr>
      <w:vertAlign w:val="superscript"/>
    </w:rPr>
  </w:style>
  <w:style w:type="character" w:styleId="C18">
    <w:name w:val="Endnote Text Char"/>
    <w:link w:val="P31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2"/>
      <w:szCs w:val="22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0a55-d9ad-427d-8e5a-fc0c44fc9a58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API/21.2.3.0</Application>
  <AppVersion>21.2</AppVersion>
  <Company>SPecialiST RePack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2024-04-12T11:03:00Z</dcterms:created>
  <dcterms:modified xsi:type="dcterms:W3CDTF">2026-06-11T13:01:30Z</dcterms:modified>
  <cp:revision>5</cp:revision>
</cp:coreProperties>
</file>